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85" w:rsidRPr="00F7624B" w:rsidRDefault="006F12BA" w:rsidP="00F7624B">
      <w:pPr>
        <w:jc w:val="center"/>
        <w:rPr>
          <w:rFonts w:ascii="Century Schoolbook" w:hAnsi="Century Schoolbook"/>
          <w:b/>
          <w:sz w:val="28"/>
          <w:szCs w:val="28"/>
        </w:rPr>
      </w:pPr>
      <w:r w:rsidRPr="00F7624B">
        <w:rPr>
          <w:rFonts w:ascii="Century Schoolbook" w:hAnsi="Century Schoolbook"/>
          <w:b/>
          <w:sz w:val="28"/>
          <w:szCs w:val="28"/>
        </w:rPr>
        <w:t>AJEI 2017 Summit</w:t>
      </w:r>
    </w:p>
    <w:p w:rsidR="00390B85" w:rsidRDefault="006F12BA" w:rsidP="00F7624B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Oral Argument on a Budget</w:t>
      </w:r>
    </w:p>
    <w:p w:rsidR="00F7624B" w:rsidRDefault="006F12BA" w:rsidP="00F7624B">
      <w:pPr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Friday, November 3, 2017 at 11:30 am </w:t>
      </w:r>
    </w:p>
    <w:p w:rsidR="00390B85" w:rsidRDefault="009414DB">
      <w:pPr>
        <w:jc w:val="center"/>
        <w:rPr>
          <w:rFonts w:ascii="Century Schoolbook" w:hAnsi="Century Schoolbook"/>
          <w:b/>
        </w:rPr>
      </w:pPr>
    </w:p>
    <w:p w:rsidR="00F7624B" w:rsidRDefault="006F12BA">
      <w:pPr>
        <w:jc w:val="left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>Participants:</w:t>
      </w:r>
    </w:p>
    <w:p w:rsidR="00F7624B" w:rsidRDefault="009414DB">
      <w:pPr>
        <w:jc w:val="left"/>
        <w:rPr>
          <w:rFonts w:ascii="Century Schoolbook" w:hAnsi="Century Schoolbook"/>
          <w:b/>
          <w:i/>
        </w:rPr>
      </w:pPr>
    </w:p>
    <w:p w:rsidR="00390B85" w:rsidRDefault="006F12BA" w:rsidP="00F7624B">
      <w:pPr>
        <w:jc w:val="left"/>
        <w:rPr>
          <w:rFonts w:ascii="Century Schoolbook" w:hAnsi="Century Schoolbook"/>
          <w:b/>
        </w:rPr>
      </w:pPr>
      <w:r w:rsidRPr="00F7624B">
        <w:rPr>
          <w:rFonts w:ascii="Century Schoolbook" w:hAnsi="Century Schoolbook"/>
        </w:rPr>
        <w:t xml:space="preserve">Moderator and panelist:  Lisa Perrochet, </w:t>
      </w:r>
      <w:r>
        <w:rPr>
          <w:rFonts w:ascii="Century Schoolbook" w:hAnsi="Century Schoolbook"/>
        </w:rPr>
        <w:t>Horvitz &amp; Levy LLP</w:t>
      </w:r>
      <w:r>
        <w:rPr>
          <w:rFonts w:ascii="Century Schoolbook" w:hAnsi="Century Schoolbook"/>
          <w:b/>
        </w:rPr>
        <w:t xml:space="preserve">:  </w:t>
      </w:r>
    </w:p>
    <w:p w:rsidR="00F7624B" w:rsidRDefault="006F12BA" w:rsidP="00F7624B">
      <w:pPr>
        <w:jc w:val="left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Panelists:  </w:t>
      </w:r>
    </w:p>
    <w:p w:rsidR="00F7624B" w:rsidRPr="00F7624B" w:rsidRDefault="006F12BA" w:rsidP="00F7624B">
      <w:pPr>
        <w:jc w:val="left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</w:t>
      </w:r>
      <w:r w:rsidRPr="00F7624B">
        <w:rPr>
          <w:rFonts w:ascii="Century Schoolbook" w:hAnsi="Century Schoolbook"/>
        </w:rPr>
        <w:t>Alan Charles Dell’Ario</w:t>
      </w:r>
    </w:p>
    <w:p w:rsidR="00F7624B" w:rsidRPr="00F7624B" w:rsidRDefault="006F12BA" w:rsidP="00F7624B">
      <w:pPr>
        <w:jc w:val="left"/>
        <w:rPr>
          <w:rFonts w:ascii="Century Schoolbook" w:hAnsi="Century Schoolbook"/>
        </w:rPr>
      </w:pPr>
      <w:r w:rsidRPr="00F7624B">
        <w:rPr>
          <w:rFonts w:ascii="Century Schoolbook" w:hAnsi="Century Schoolbook"/>
        </w:rPr>
        <w:t xml:space="preserve">   Heather B. New, AT&amp;T</w:t>
      </w:r>
    </w:p>
    <w:p w:rsidR="00F7624B" w:rsidRDefault="006F12BA" w:rsidP="00F7624B">
      <w:pPr>
        <w:jc w:val="left"/>
        <w:rPr>
          <w:rFonts w:ascii="Century Schoolbook" w:hAnsi="Century Schoolbook"/>
          <w:i/>
        </w:rPr>
      </w:pPr>
      <w:r w:rsidRPr="00F7624B">
        <w:rPr>
          <w:rFonts w:ascii="Century Schoolbook" w:hAnsi="Century Schoolbook"/>
        </w:rPr>
        <w:t xml:space="preserve">   Hon. Rosalyn H. Richter, Supreme Court of the State of New York, </w:t>
      </w:r>
      <w:r w:rsidR="00C67681">
        <w:rPr>
          <w:rFonts w:ascii="Century Schoolbook" w:hAnsi="Century Schoolbook"/>
        </w:rPr>
        <w:br/>
        <w:t xml:space="preserve">     </w:t>
      </w:r>
      <w:r w:rsidRPr="00F7624B">
        <w:rPr>
          <w:rFonts w:ascii="Century Schoolbook" w:hAnsi="Century Schoolbook"/>
        </w:rPr>
        <w:t>Appellate Division, First Department</w:t>
      </w:r>
    </w:p>
    <w:p w:rsidR="00390B85" w:rsidRDefault="009414DB">
      <w:pPr>
        <w:jc w:val="center"/>
        <w:rPr>
          <w:rFonts w:ascii="Century Schoolbook" w:hAnsi="Century Schoolbook"/>
          <w:b/>
        </w:rPr>
      </w:pPr>
    </w:p>
    <w:p w:rsidR="00390B85" w:rsidRDefault="006F12BA">
      <w:pPr>
        <w:rPr>
          <w:rFonts w:ascii="Century Schoolbook" w:hAnsi="Century Schoolbook"/>
          <w:b/>
        </w:rPr>
      </w:pPr>
      <w:r w:rsidRPr="00E33C0F">
        <w:rPr>
          <w:rFonts w:ascii="Century Schoolbook" w:hAnsi="Century Schoolbook"/>
          <w:b/>
          <w:i/>
        </w:rPr>
        <w:t>Learning Objectives</w:t>
      </w:r>
      <w:r>
        <w:rPr>
          <w:rFonts w:ascii="Century Schoolbook" w:hAnsi="Century Schoolbook"/>
          <w:b/>
        </w:rPr>
        <w:t xml:space="preserve">:  </w:t>
      </w:r>
    </w:p>
    <w:p w:rsidR="00390B85" w:rsidRDefault="009414DB">
      <w:pPr>
        <w:rPr>
          <w:rFonts w:ascii="Century Schoolbook" w:hAnsi="Century Schoolbook"/>
          <w:b/>
        </w:rPr>
      </w:pPr>
    </w:p>
    <w:p w:rsidR="000E4F00" w:rsidRDefault="006F12BA" w:rsidP="000E4F00">
      <w:pPr>
        <w:jc w:val="left"/>
        <w:rPr>
          <w:rFonts w:ascii="Century Schoolbook" w:hAnsi="Century Schoolbook"/>
        </w:rPr>
      </w:pPr>
      <w:r>
        <w:rPr>
          <w:rFonts w:ascii="Century Schoolbook" w:hAnsi="Century Schoolbook"/>
        </w:rPr>
        <w:t>H</w:t>
      </w:r>
      <w:r w:rsidRPr="000E4F00">
        <w:rPr>
          <w:rFonts w:ascii="Century Schoolbook" w:hAnsi="Century Schoolbook"/>
        </w:rPr>
        <w:t xml:space="preserve">igh-stakes </w:t>
      </w:r>
      <w:r>
        <w:rPr>
          <w:rFonts w:ascii="Century Schoolbook" w:hAnsi="Century Schoolbook"/>
        </w:rPr>
        <w:t xml:space="preserve">appeals often involve </w:t>
      </w:r>
      <w:r w:rsidRPr="000E4F00">
        <w:rPr>
          <w:rFonts w:ascii="Century Schoolbook" w:hAnsi="Century Schoolbook"/>
        </w:rPr>
        <w:t xml:space="preserve">significant argument preparation, including detailed review of the law and the record, additional research, moot courts, etc.  But lawyers </w:t>
      </w:r>
      <w:r>
        <w:rPr>
          <w:rFonts w:ascii="Century Schoolbook" w:hAnsi="Century Schoolbook"/>
        </w:rPr>
        <w:t xml:space="preserve">also frequently </w:t>
      </w:r>
      <w:r w:rsidRPr="000E4F00">
        <w:rPr>
          <w:rFonts w:ascii="Century Schoolbook" w:hAnsi="Century Schoolbook"/>
        </w:rPr>
        <w:t>have to balance their obligation to represent their clients zealously and their role as officers of the court with the reality that the</w:t>
      </w:r>
      <w:r>
        <w:rPr>
          <w:rFonts w:ascii="Century Schoolbook" w:hAnsi="Century Schoolbook"/>
        </w:rPr>
        <w:t>ir</w:t>
      </w:r>
      <w:r w:rsidRPr="000E4F00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cases </w:t>
      </w:r>
      <w:r w:rsidRPr="000E4F00">
        <w:rPr>
          <w:rFonts w:ascii="Century Schoolbook" w:hAnsi="Century Schoolbook"/>
        </w:rPr>
        <w:t>do not merit and the</w:t>
      </w:r>
      <w:r>
        <w:rPr>
          <w:rFonts w:ascii="Century Schoolbook" w:hAnsi="Century Schoolbook"/>
        </w:rPr>
        <w:t>ir</w:t>
      </w:r>
      <w:r w:rsidRPr="000E4F00">
        <w:rPr>
          <w:rFonts w:ascii="Century Schoolbook" w:hAnsi="Century Schoolbook"/>
        </w:rPr>
        <w:t xml:space="preserve"> clients cannot afford to pay for a no-holds-barred approach.</w:t>
      </w:r>
      <w:r>
        <w:rPr>
          <w:rFonts w:ascii="Century Schoolbook" w:hAnsi="Century Schoolbook"/>
        </w:rPr>
        <w:t xml:space="preserve">  This panel </w:t>
      </w:r>
      <w:r w:rsidRPr="000E4F00">
        <w:rPr>
          <w:rFonts w:ascii="Century Schoolbook" w:hAnsi="Century Schoolbook"/>
        </w:rPr>
        <w:t xml:space="preserve">will discuss </w:t>
      </w:r>
      <w:r>
        <w:rPr>
          <w:rFonts w:ascii="Century Schoolbook" w:hAnsi="Century Schoolbook"/>
        </w:rPr>
        <w:t xml:space="preserve">(1) </w:t>
      </w:r>
      <w:r w:rsidRPr="000E4F00">
        <w:rPr>
          <w:rFonts w:ascii="Century Schoolbook" w:hAnsi="Century Schoolbook"/>
        </w:rPr>
        <w:t>how lawyers can meaningfully and ethically prepare for oral argument without incurring exorbitant costs</w:t>
      </w:r>
      <w:r>
        <w:rPr>
          <w:rFonts w:ascii="Century Schoolbook" w:hAnsi="Century Schoolbook"/>
        </w:rPr>
        <w:t xml:space="preserve"> and (2) </w:t>
      </w:r>
      <w:r w:rsidRPr="000E4F00">
        <w:rPr>
          <w:rFonts w:ascii="Century Schoolbook" w:hAnsi="Century Schoolbook"/>
        </w:rPr>
        <w:t xml:space="preserve">ways </w:t>
      </w:r>
      <w:r>
        <w:rPr>
          <w:rFonts w:ascii="Century Schoolbook" w:hAnsi="Century Schoolbook"/>
        </w:rPr>
        <w:t xml:space="preserve">in which judges and </w:t>
      </w:r>
      <w:r w:rsidRPr="000E4F00">
        <w:rPr>
          <w:rFonts w:ascii="Century Schoolbook" w:hAnsi="Century Schoolbook"/>
        </w:rPr>
        <w:t xml:space="preserve">court procedures </w:t>
      </w:r>
      <w:r>
        <w:rPr>
          <w:rFonts w:ascii="Century Schoolbook" w:hAnsi="Century Schoolbook"/>
        </w:rPr>
        <w:t xml:space="preserve">can help </w:t>
      </w:r>
      <w:r w:rsidRPr="000E4F00">
        <w:rPr>
          <w:rFonts w:ascii="Century Schoolbook" w:hAnsi="Century Schoolbook"/>
        </w:rPr>
        <w:t>maintain</w:t>
      </w:r>
      <w:r>
        <w:rPr>
          <w:rFonts w:ascii="Century Schoolbook" w:hAnsi="Century Schoolbook"/>
        </w:rPr>
        <w:t xml:space="preserve"> </w:t>
      </w:r>
      <w:r w:rsidRPr="000E4F00">
        <w:rPr>
          <w:rFonts w:ascii="Century Schoolbook" w:hAnsi="Century Schoolbook"/>
        </w:rPr>
        <w:t>confidence that our court system is a just and fair place for resolving disputes</w:t>
      </w:r>
      <w:r>
        <w:rPr>
          <w:rFonts w:ascii="Century Schoolbook" w:hAnsi="Century Schoolbook"/>
        </w:rPr>
        <w:t xml:space="preserve"> even when argument is not held or is curtailed in length.  </w:t>
      </w:r>
    </w:p>
    <w:p w:rsidR="000E4F00" w:rsidRDefault="009414DB" w:rsidP="000D5436">
      <w:pPr>
        <w:jc w:val="left"/>
        <w:rPr>
          <w:rFonts w:ascii="Century Schoolbook" w:hAnsi="Century Schoolbook"/>
        </w:rPr>
      </w:pPr>
    </w:p>
    <w:p w:rsidR="0070008C" w:rsidRDefault="006F12BA" w:rsidP="001E535D">
      <w:pPr>
        <w:jc w:val="left"/>
        <w:rPr>
          <w:rFonts w:ascii="Century Schoolbook" w:hAnsi="Century Schoolbook"/>
        </w:rPr>
      </w:pPr>
      <w:r w:rsidRPr="002C2889">
        <w:rPr>
          <w:rFonts w:ascii="Century Schoolbook" w:hAnsi="Century Schoolbook"/>
          <w:b/>
          <w:i/>
        </w:rPr>
        <w:t>Topic Outline:</w:t>
      </w:r>
    </w:p>
    <w:p w:rsidR="002C2889" w:rsidRPr="00801420" w:rsidRDefault="009414DB" w:rsidP="002C2889">
      <w:pPr>
        <w:rPr>
          <w:rFonts w:ascii="Century Schoolbook" w:hAnsi="Century Schoolbook"/>
        </w:rPr>
      </w:pPr>
    </w:p>
    <w:p w:rsidR="002C2889" w:rsidRPr="00801420" w:rsidRDefault="006F12BA" w:rsidP="009414DB">
      <w:pPr>
        <w:pStyle w:val="SingleSpace"/>
        <w:numPr>
          <w:ilvl w:val="0"/>
          <w:numId w:val="10"/>
        </w:numPr>
        <w:spacing w:after="240"/>
        <w:ind w:left="720" w:hanging="720"/>
        <w:rPr>
          <w:rFonts w:ascii="Century Schoolbook" w:hAnsi="Century Schoolbook"/>
        </w:rPr>
      </w:pPr>
      <w:r w:rsidRPr="00801420">
        <w:rPr>
          <w:rFonts w:ascii="Century Schoolbook" w:hAnsi="Century Schoolbook"/>
        </w:rPr>
        <w:t xml:space="preserve">How </w:t>
      </w:r>
      <w:r>
        <w:rPr>
          <w:rFonts w:ascii="Century Schoolbook" w:hAnsi="Century Schoolbook"/>
        </w:rPr>
        <w:t xml:space="preserve">important </w:t>
      </w:r>
      <w:r w:rsidRPr="00801420">
        <w:rPr>
          <w:rFonts w:ascii="Century Schoolbook" w:hAnsi="Century Schoolbook"/>
        </w:rPr>
        <w:t xml:space="preserve">is oral argument to courts, parties, counsel, and the public, and when might it appropriately be waived?  </w:t>
      </w:r>
    </w:p>
    <w:p w:rsidR="00D43A90" w:rsidRPr="00801420" w:rsidRDefault="006F12BA" w:rsidP="009414DB">
      <w:pPr>
        <w:pStyle w:val="SingleSpace"/>
        <w:numPr>
          <w:ilvl w:val="0"/>
          <w:numId w:val="10"/>
        </w:numPr>
        <w:spacing w:after="240"/>
        <w:ind w:left="720" w:hanging="720"/>
        <w:rPr>
          <w:rFonts w:ascii="Century Schoolbook" w:hAnsi="Century Schoolbook"/>
        </w:rPr>
      </w:pPr>
      <w:r w:rsidRPr="00801420">
        <w:rPr>
          <w:rFonts w:ascii="Century Schoolbook" w:hAnsi="Century Schoolbook"/>
        </w:rPr>
        <w:t>What should determine how much argument time a particular case warrants and who should argue it?</w:t>
      </w:r>
    </w:p>
    <w:p w:rsidR="00D43A90" w:rsidRPr="00801420" w:rsidRDefault="006F12BA" w:rsidP="009414DB">
      <w:pPr>
        <w:pStyle w:val="SingleSpace"/>
        <w:numPr>
          <w:ilvl w:val="0"/>
          <w:numId w:val="10"/>
        </w:numPr>
        <w:spacing w:after="240"/>
        <w:ind w:left="720" w:hanging="720"/>
        <w:rPr>
          <w:rFonts w:ascii="Century Schoolbook" w:hAnsi="Century Schoolbook"/>
        </w:rPr>
      </w:pPr>
      <w:r w:rsidRPr="00801420">
        <w:rPr>
          <w:rFonts w:ascii="Century Schoolbook" w:hAnsi="Century Schoolbook"/>
        </w:rPr>
        <w:t>In preparing for argument, how can lawyers balance their ethical obligations with cost and other practical constraints, and how should clients be involved in these decisions?</w:t>
      </w:r>
    </w:p>
    <w:p w:rsidR="002C2889" w:rsidRPr="00801420" w:rsidRDefault="006F12BA" w:rsidP="009414DB">
      <w:pPr>
        <w:pStyle w:val="SingleSpace"/>
        <w:numPr>
          <w:ilvl w:val="0"/>
          <w:numId w:val="10"/>
        </w:numPr>
        <w:spacing w:after="240"/>
        <w:ind w:left="720" w:hanging="720"/>
        <w:rPr>
          <w:rFonts w:ascii="Century Schoolbook" w:hAnsi="Century Schoolbook"/>
        </w:rPr>
      </w:pPr>
      <w:r w:rsidRPr="00801420">
        <w:rPr>
          <w:rFonts w:ascii="Century Schoolbook" w:hAnsi="Century Schoolbook"/>
        </w:rPr>
        <w:t xml:space="preserve">What are some efficient </w:t>
      </w:r>
      <w:r>
        <w:rPr>
          <w:rFonts w:ascii="Century Schoolbook" w:hAnsi="Century Schoolbook"/>
        </w:rPr>
        <w:t xml:space="preserve">and effective means of argument preparation?  </w:t>
      </w:r>
    </w:p>
    <w:p w:rsidR="00801420" w:rsidRPr="00801420" w:rsidRDefault="006F12BA" w:rsidP="009414DB">
      <w:pPr>
        <w:pStyle w:val="SingleSpace"/>
        <w:numPr>
          <w:ilvl w:val="0"/>
          <w:numId w:val="10"/>
        </w:numPr>
        <w:spacing w:after="240"/>
        <w:ind w:left="720" w:hanging="720"/>
        <w:rPr>
          <w:rFonts w:ascii="Century Schoolbook" w:hAnsi="Century Schoolbook"/>
        </w:rPr>
      </w:pPr>
      <w:r w:rsidRPr="00801420">
        <w:rPr>
          <w:rFonts w:ascii="Century Schoolbook" w:hAnsi="Century Schoolbook"/>
        </w:rPr>
        <w:t xml:space="preserve">How can lawyers </w:t>
      </w:r>
      <w:r>
        <w:rPr>
          <w:rFonts w:ascii="Century Schoolbook" w:hAnsi="Century Schoolbook"/>
        </w:rPr>
        <w:t xml:space="preserve">obtain the most benefit from </w:t>
      </w:r>
      <w:r w:rsidRPr="00801420">
        <w:rPr>
          <w:rFonts w:ascii="Century Schoolbook" w:hAnsi="Century Schoolbook"/>
        </w:rPr>
        <w:t>argument and best manage client expectations?</w:t>
      </w:r>
    </w:p>
    <w:p w:rsidR="00D43A90" w:rsidRDefault="006F12BA" w:rsidP="009414DB">
      <w:pPr>
        <w:pStyle w:val="SingleSpace"/>
        <w:numPr>
          <w:ilvl w:val="0"/>
          <w:numId w:val="10"/>
        </w:numPr>
        <w:ind w:left="720" w:hanging="72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Can the courts </w:t>
      </w:r>
      <w:r w:rsidRPr="00801420">
        <w:rPr>
          <w:rFonts w:ascii="Century Schoolbook" w:hAnsi="Century Schoolbook"/>
        </w:rPr>
        <w:t>play a role in helping parties feel that they have had their day in court without breaking their bank accounts</w:t>
      </w:r>
      <w:r>
        <w:rPr>
          <w:rFonts w:ascii="Century Schoolbook" w:hAnsi="Century Schoolbook"/>
        </w:rPr>
        <w:t>, and if so how</w:t>
      </w:r>
      <w:r w:rsidRPr="00801420">
        <w:rPr>
          <w:rFonts w:ascii="Century Schoolbook" w:hAnsi="Century Schoolbook"/>
        </w:rPr>
        <w:t>?</w:t>
      </w:r>
    </w:p>
    <w:p w:rsidR="009414DB" w:rsidRDefault="009414DB" w:rsidP="009414DB">
      <w:pPr>
        <w:pStyle w:val="SingleSpace"/>
        <w:ind w:left="720"/>
        <w:rPr>
          <w:rFonts w:ascii="Century Schoolbook" w:hAnsi="Century Schoolbook"/>
        </w:rPr>
      </w:pPr>
    </w:p>
    <w:p w:rsidR="009414DB" w:rsidRDefault="009414DB">
      <w:pPr>
        <w:rPr>
          <w:rFonts w:ascii="Century Schoolbook" w:hAnsi="Century Schoolbook"/>
          <w:b/>
          <w:i/>
        </w:rPr>
      </w:pPr>
      <w:bookmarkStart w:id="0" w:name="Verdatum"/>
      <w:bookmarkEnd w:id="0"/>
      <w:r>
        <w:rPr>
          <w:rFonts w:ascii="Century Schoolbook" w:hAnsi="Century Schoolbook"/>
          <w:b/>
          <w:i/>
        </w:rPr>
        <w:br w:type="page"/>
      </w:r>
    </w:p>
    <w:p w:rsidR="00C67681" w:rsidRPr="009414DB" w:rsidRDefault="00C67681" w:rsidP="00C67681">
      <w:pPr>
        <w:rPr>
          <w:rFonts w:ascii="Century Schoolbook" w:hAnsi="Century Schoolbook"/>
          <w:b/>
          <w:i/>
        </w:rPr>
      </w:pPr>
      <w:r w:rsidRPr="009414DB">
        <w:rPr>
          <w:rFonts w:ascii="Century Schoolbook" w:hAnsi="Century Schoolbook"/>
          <w:b/>
          <w:i/>
        </w:rPr>
        <w:t>Detailed Outline</w:t>
      </w:r>
      <w:r w:rsidR="009414DB">
        <w:rPr>
          <w:rFonts w:ascii="Century Schoolbook" w:hAnsi="Century Schoolbook"/>
          <w:b/>
          <w:i/>
        </w:rPr>
        <w:t>:</w:t>
      </w:r>
    </w:p>
    <w:p w:rsidR="00C67681" w:rsidRPr="009414DB" w:rsidRDefault="00C67681" w:rsidP="00C67681">
      <w:pPr>
        <w:rPr>
          <w:rFonts w:ascii="Century Schoolbook" w:hAnsi="Century Schoolbook"/>
        </w:rPr>
      </w:pPr>
    </w:p>
    <w:p w:rsidR="00C67681" w:rsidRPr="009414DB" w:rsidRDefault="00C67681" w:rsidP="00C67681">
      <w:pPr>
        <w:pStyle w:val="SingleSpace"/>
        <w:spacing w:after="240"/>
        <w:ind w:left="72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1.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 xml:space="preserve">Importance of oral argument to courts, parties, counsel, public </w:t>
      </w:r>
    </w:p>
    <w:p w:rsidR="00C67681" w:rsidRPr="009414DB" w:rsidRDefault="00C67681" w:rsidP="00C67681">
      <w:pPr>
        <w:pStyle w:val="SingleSpace"/>
        <w:numPr>
          <w:ilvl w:val="1"/>
          <w:numId w:val="10"/>
        </w:numPr>
        <w:spacing w:after="240"/>
        <w:ind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Perception vs. reality – should both be considered?</w:t>
      </w:r>
    </w:p>
    <w:p w:rsidR="00C67681" w:rsidRPr="009414DB" w:rsidRDefault="00C67681" w:rsidP="00C67681">
      <w:pPr>
        <w:pStyle w:val="SingleSpace"/>
        <w:numPr>
          <w:ilvl w:val="1"/>
          <w:numId w:val="10"/>
        </w:numPr>
        <w:spacing w:after="240"/>
        <w:ind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 xml:space="preserve">How can parties be made to feel they have had a full and fair hearing and their counsel have represented them well if their appeals are given short shrift at argument or no argument at all? </w:t>
      </w:r>
    </w:p>
    <w:p w:rsidR="00C67681" w:rsidRPr="009414DB" w:rsidRDefault="00C67681" w:rsidP="00C67681">
      <w:pPr>
        <w:pStyle w:val="SingleSpace"/>
        <w:numPr>
          <w:ilvl w:val="1"/>
          <w:numId w:val="10"/>
        </w:numPr>
        <w:spacing w:after="240"/>
        <w:ind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Is there a value to having counsel present argument in appeals where this is unlikely to affect the decision?</w:t>
      </w:r>
    </w:p>
    <w:p w:rsidR="00C67681" w:rsidRPr="009414DB" w:rsidRDefault="00C67681" w:rsidP="00C67681">
      <w:pPr>
        <w:pStyle w:val="SingleSpace"/>
        <w:numPr>
          <w:ilvl w:val="1"/>
          <w:numId w:val="10"/>
        </w:numPr>
        <w:spacing w:after="240"/>
        <w:ind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Should significance be given to transparency of the judicial process?</w:t>
      </w:r>
    </w:p>
    <w:p w:rsidR="00C67681" w:rsidRPr="009414DB" w:rsidRDefault="00C67681" w:rsidP="00C67681">
      <w:pPr>
        <w:pStyle w:val="SingleSpace"/>
        <w:numPr>
          <w:ilvl w:val="1"/>
          <w:numId w:val="10"/>
        </w:numPr>
        <w:spacing w:after="240"/>
        <w:ind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 xml:space="preserve">How can lawyers and judges better manage parties’ and the public’s understanding of and expectations about oral argument? </w:t>
      </w:r>
    </w:p>
    <w:p w:rsidR="00C67681" w:rsidRPr="009414DB" w:rsidRDefault="00C67681" w:rsidP="00C67681">
      <w:pPr>
        <w:pStyle w:val="SingleSpace"/>
        <w:spacing w:after="240"/>
        <w:ind w:left="72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2.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 xml:space="preserve">Deciding whether to request or grant oral argument 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a.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 xml:space="preserve">Which appeals should be argued, and what are the criteria?  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b.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>Who should decide, the courts or the parties?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c.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>Are there cases where argument might appropriately be waived, and how should this determination be made?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d.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>Are there ethical constraints on counsel’s recommending against or waiving oral argument?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e.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>What role should clients play in making these decisions, should management be involved, and what professional responsibility obligations apply?</w:t>
      </w:r>
    </w:p>
    <w:p w:rsidR="00C67681" w:rsidRPr="009414DB" w:rsidRDefault="00C67681" w:rsidP="00C67681">
      <w:pPr>
        <w:pStyle w:val="SingleSpace"/>
        <w:spacing w:after="240"/>
        <w:ind w:left="72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3.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 xml:space="preserve">Deciding the amount of argument time for a particular appeal 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a.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 xml:space="preserve">What factors should determine argument time for an appeal, and do they vary depending on the type of case?  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b.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>How much weight should be given to the parties’ views?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c.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 xml:space="preserve">What should be the respective roles of the parties and counsel in deciding how much argument time to request? 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d.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 xml:space="preserve">What ethical considerations might come into play in counsel’s recommending or requesting a particular amount of time? </w:t>
      </w:r>
    </w:p>
    <w:p w:rsidR="00C67681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e.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>How can clients be involved if decisions are made on the day of or during argument?</w:t>
      </w:r>
    </w:p>
    <w:p w:rsidR="009414DB" w:rsidRPr="009414DB" w:rsidRDefault="009414DB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bookmarkStart w:id="1" w:name="_GoBack"/>
      <w:bookmarkEnd w:id="1"/>
    </w:p>
    <w:p w:rsidR="00C67681" w:rsidRPr="009414DB" w:rsidRDefault="00C67681" w:rsidP="00C67681">
      <w:pPr>
        <w:pStyle w:val="SingleSpace"/>
        <w:spacing w:after="240"/>
        <w:ind w:left="72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4.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 xml:space="preserve">Deciding who should argue an appeal 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a.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 xml:space="preserve">How should counsel weigh advocacy, efficiency, and ethical considerations in recommending which lawyer on the team should argue an appeal?  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b.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>Who should make the ultimate decision on this question?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c.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>How can younger lawyers best get the argument experience they need to become viable options to argue major cases?</w:t>
      </w:r>
    </w:p>
    <w:p w:rsidR="00C67681" w:rsidRPr="009414DB" w:rsidRDefault="00C67681" w:rsidP="00C67681">
      <w:pPr>
        <w:pStyle w:val="SingleSpace"/>
        <w:spacing w:after="240"/>
        <w:ind w:left="72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5.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 xml:space="preserve">Preparing for oral argument effectively and efficiently 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a.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 xml:space="preserve">Updating research 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b.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 xml:space="preserve">Reviewing the briefs, issues, and relevant cases 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c.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>Becoming familiar with the record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d.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>Predicting issues likely to come up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e.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>Consulting with others</w:t>
      </w:r>
    </w:p>
    <w:p w:rsidR="00C67681" w:rsidRPr="009414DB" w:rsidRDefault="00C67681" w:rsidP="00C67681">
      <w:pPr>
        <w:pStyle w:val="SingleSpace"/>
        <w:numPr>
          <w:ilvl w:val="2"/>
          <w:numId w:val="10"/>
        </w:numPr>
        <w:spacing w:after="240"/>
        <w:ind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Discussion sessions</w:t>
      </w:r>
    </w:p>
    <w:p w:rsidR="00C67681" w:rsidRPr="009414DB" w:rsidRDefault="00C67681" w:rsidP="00C67681">
      <w:pPr>
        <w:pStyle w:val="SingleSpace"/>
        <w:numPr>
          <w:ilvl w:val="2"/>
          <w:numId w:val="10"/>
        </w:numPr>
        <w:spacing w:after="240"/>
        <w:ind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Moot courts</w:t>
      </w:r>
    </w:p>
    <w:p w:rsidR="00C67681" w:rsidRPr="009414DB" w:rsidRDefault="00C67681" w:rsidP="00C67681">
      <w:pPr>
        <w:pStyle w:val="SingleSpace"/>
        <w:numPr>
          <w:ilvl w:val="1"/>
          <w:numId w:val="10"/>
        </w:numPr>
        <w:spacing w:after="240"/>
        <w:ind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How might technology improve efficiency in any of the above?</w:t>
      </w:r>
    </w:p>
    <w:p w:rsidR="00C67681" w:rsidRPr="009414DB" w:rsidRDefault="00C67681" w:rsidP="00C67681">
      <w:pPr>
        <w:pStyle w:val="SingleSpace"/>
        <w:numPr>
          <w:ilvl w:val="1"/>
          <w:numId w:val="10"/>
        </w:numPr>
        <w:spacing w:after="240"/>
        <w:ind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Should preparation time be related to the amount of argument time granted by the court, and how should lawyers proceed if this isn’t known in advance?</w:t>
      </w:r>
    </w:p>
    <w:p w:rsidR="00C67681" w:rsidRPr="009414DB" w:rsidRDefault="00C67681" w:rsidP="00C67681">
      <w:pPr>
        <w:pStyle w:val="SingleSpace"/>
        <w:numPr>
          <w:ilvl w:val="1"/>
          <w:numId w:val="10"/>
        </w:numPr>
        <w:spacing w:after="240"/>
        <w:ind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How can counsel strike the balance between their ethical obligations to represent their clients zealously and their role as officers of the court with cost and other practical constraints?</w:t>
      </w:r>
    </w:p>
    <w:p w:rsidR="00C67681" w:rsidRPr="009414DB" w:rsidRDefault="00C67681" w:rsidP="00C67681">
      <w:pPr>
        <w:pStyle w:val="SingleSpace"/>
        <w:numPr>
          <w:ilvl w:val="1"/>
          <w:numId w:val="10"/>
        </w:numPr>
        <w:spacing w:after="240"/>
        <w:ind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 xml:space="preserve">To what extent should clients be involved in making these decisions? </w:t>
      </w:r>
    </w:p>
    <w:p w:rsidR="00C67681" w:rsidRPr="009414DB" w:rsidRDefault="00C67681" w:rsidP="00C67681">
      <w:pPr>
        <w:pStyle w:val="SingleSpace"/>
        <w:numPr>
          <w:ilvl w:val="1"/>
          <w:numId w:val="10"/>
        </w:numPr>
        <w:spacing w:after="240"/>
        <w:ind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Are there ways in which courts can assist in streamlining argument preparation, as, for example, identifying key issues in advance?</w:t>
      </w:r>
    </w:p>
    <w:p w:rsidR="00C67681" w:rsidRPr="009414DB" w:rsidRDefault="00C67681" w:rsidP="00C67681">
      <w:pPr>
        <w:pStyle w:val="SingleSpace"/>
        <w:spacing w:after="240"/>
        <w:ind w:left="72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6.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 xml:space="preserve">Presenting oral argument 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a.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 xml:space="preserve">Travel time:  how can it be used efficiently?  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b.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>Spending the day:  are there ways to balance counsel’s need to be present and desire to get to know the panel with cost concerns?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c.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>Can video or other technology make presentation of argument more efficient, and are there associated costs?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d.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 xml:space="preserve">When might counsel consider not arguing or pressing a particular issue presented by an appeal or agreeing with the court that it is not a winning point, and does this raise any ethical concerns?  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e.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>How can counsel best deal with questions at argument that they cannot answer fully because of constraints imposed on their preparation?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f.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>When might counsel offer or agree to submit additional materials on an issue that comes up at argument, and should cost be a consideration?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g.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 xml:space="preserve">How important is rebuttal time, and how should argument be divided between the main argument and rebuttal?  </w:t>
      </w:r>
    </w:p>
    <w:p w:rsidR="00C67681" w:rsidRPr="009414DB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h.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>Does the client’s presence in the courtroom impact any of these points?</w:t>
      </w:r>
    </w:p>
    <w:p w:rsidR="00C67681" w:rsidRPr="00801420" w:rsidRDefault="00C67681" w:rsidP="00C67681">
      <w:pPr>
        <w:pStyle w:val="SingleSpace"/>
        <w:spacing w:after="240"/>
        <w:ind w:left="1440" w:hanging="720"/>
        <w:rPr>
          <w:rFonts w:ascii="Century Schoolbook" w:hAnsi="Century Schoolbook"/>
        </w:rPr>
      </w:pPr>
      <w:r w:rsidRPr="009414DB">
        <w:rPr>
          <w:rFonts w:ascii="Century Schoolbook" w:hAnsi="Century Schoolbook"/>
        </w:rPr>
        <w:t>i.</w:t>
      </w:r>
      <w:r w:rsidRPr="009414DB">
        <w:rPr>
          <w:rFonts w:ascii="Century Schoolbook" w:hAnsi="Century Schoolbook"/>
        </w:rPr>
        <w:tab/>
      </w:r>
      <w:r w:rsidRPr="009414DB">
        <w:rPr>
          <w:rFonts w:ascii="Century Schoolbook" w:hAnsi="Century Schoolbook"/>
        </w:rPr>
        <w:t>In there a role courts can play in balancing the desire for useful and meaningful oral argument with increasing economic constraints on co</w:t>
      </w:r>
      <w:r>
        <w:rPr>
          <w:rFonts w:ascii="Century Schoolbook" w:hAnsi="Century Schoolbook"/>
          <w:sz w:val="26"/>
          <w:szCs w:val="26"/>
        </w:rPr>
        <w:t xml:space="preserve">unsel?  </w:t>
      </w:r>
    </w:p>
    <w:sectPr w:rsidR="00C67681" w:rsidRPr="00801420" w:rsidSect="009414D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E3" w:rsidRDefault="006F12BA">
      <w:r>
        <w:separator/>
      </w:r>
    </w:p>
  </w:endnote>
  <w:endnote w:type="continuationSeparator" w:id="0">
    <w:p w:rsidR="00D044E3" w:rsidRDefault="006F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E3" w:rsidRDefault="006F12BA">
      <w:r>
        <w:separator/>
      </w:r>
    </w:p>
  </w:footnote>
  <w:footnote w:type="continuationSeparator" w:id="0">
    <w:p w:rsidR="00D044E3" w:rsidRDefault="006F1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657"/>
    <w:multiLevelType w:val="hybridMultilevel"/>
    <w:tmpl w:val="09C29EE0"/>
    <w:lvl w:ilvl="0" w:tplc="4830D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001FAC" w:tentative="1">
      <w:start w:val="1"/>
      <w:numFmt w:val="lowerLetter"/>
      <w:lvlText w:val="%2."/>
      <w:lvlJc w:val="left"/>
      <w:pPr>
        <w:ind w:left="1440" w:hanging="360"/>
      </w:pPr>
    </w:lvl>
    <w:lvl w:ilvl="2" w:tplc="643CEA5E" w:tentative="1">
      <w:start w:val="1"/>
      <w:numFmt w:val="lowerRoman"/>
      <w:lvlText w:val="%3."/>
      <w:lvlJc w:val="right"/>
      <w:pPr>
        <w:ind w:left="2160" w:hanging="180"/>
      </w:pPr>
    </w:lvl>
    <w:lvl w:ilvl="3" w:tplc="DE5E4C74" w:tentative="1">
      <w:start w:val="1"/>
      <w:numFmt w:val="decimal"/>
      <w:lvlText w:val="%4."/>
      <w:lvlJc w:val="left"/>
      <w:pPr>
        <w:ind w:left="2880" w:hanging="360"/>
      </w:pPr>
    </w:lvl>
    <w:lvl w:ilvl="4" w:tplc="82B87676" w:tentative="1">
      <w:start w:val="1"/>
      <w:numFmt w:val="lowerLetter"/>
      <w:lvlText w:val="%5."/>
      <w:lvlJc w:val="left"/>
      <w:pPr>
        <w:ind w:left="3600" w:hanging="360"/>
      </w:pPr>
    </w:lvl>
    <w:lvl w:ilvl="5" w:tplc="075821A0" w:tentative="1">
      <w:start w:val="1"/>
      <w:numFmt w:val="lowerRoman"/>
      <w:lvlText w:val="%6."/>
      <w:lvlJc w:val="right"/>
      <w:pPr>
        <w:ind w:left="4320" w:hanging="180"/>
      </w:pPr>
    </w:lvl>
    <w:lvl w:ilvl="6" w:tplc="6F2A1CC0" w:tentative="1">
      <w:start w:val="1"/>
      <w:numFmt w:val="decimal"/>
      <w:lvlText w:val="%7."/>
      <w:lvlJc w:val="left"/>
      <w:pPr>
        <w:ind w:left="5040" w:hanging="360"/>
      </w:pPr>
    </w:lvl>
    <w:lvl w:ilvl="7" w:tplc="54A4A67C" w:tentative="1">
      <w:start w:val="1"/>
      <w:numFmt w:val="lowerLetter"/>
      <w:lvlText w:val="%8."/>
      <w:lvlJc w:val="left"/>
      <w:pPr>
        <w:ind w:left="5760" w:hanging="360"/>
      </w:pPr>
    </w:lvl>
    <w:lvl w:ilvl="8" w:tplc="77D0C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4467"/>
    <w:multiLevelType w:val="hybridMultilevel"/>
    <w:tmpl w:val="2DFA5800"/>
    <w:lvl w:ilvl="0" w:tplc="CB9A6424">
      <w:start w:val="1"/>
      <w:numFmt w:val="decimal"/>
      <w:pStyle w:val="Heading3"/>
      <w:lvlText w:val="%1."/>
      <w:lvlJc w:val="left"/>
      <w:pPr>
        <w:ind w:left="1440" w:hanging="360"/>
      </w:pPr>
      <w:rPr>
        <w:rFonts w:hint="default"/>
      </w:rPr>
    </w:lvl>
    <w:lvl w:ilvl="1" w:tplc="16D40F02" w:tentative="1">
      <w:start w:val="1"/>
      <w:numFmt w:val="lowerLetter"/>
      <w:lvlText w:val="%2."/>
      <w:lvlJc w:val="left"/>
      <w:pPr>
        <w:ind w:left="2160" w:hanging="360"/>
      </w:pPr>
    </w:lvl>
    <w:lvl w:ilvl="2" w:tplc="0E507522" w:tentative="1">
      <w:start w:val="1"/>
      <w:numFmt w:val="lowerRoman"/>
      <w:lvlText w:val="%3."/>
      <w:lvlJc w:val="right"/>
      <w:pPr>
        <w:ind w:left="2880" w:hanging="180"/>
      </w:pPr>
    </w:lvl>
    <w:lvl w:ilvl="3" w:tplc="07689FF2" w:tentative="1">
      <w:start w:val="1"/>
      <w:numFmt w:val="decimal"/>
      <w:lvlText w:val="%4."/>
      <w:lvlJc w:val="left"/>
      <w:pPr>
        <w:ind w:left="3600" w:hanging="360"/>
      </w:pPr>
    </w:lvl>
    <w:lvl w:ilvl="4" w:tplc="B14C1F64" w:tentative="1">
      <w:start w:val="1"/>
      <w:numFmt w:val="lowerLetter"/>
      <w:lvlText w:val="%5."/>
      <w:lvlJc w:val="left"/>
      <w:pPr>
        <w:ind w:left="4320" w:hanging="360"/>
      </w:pPr>
    </w:lvl>
    <w:lvl w:ilvl="5" w:tplc="9BAC7DF2" w:tentative="1">
      <w:start w:val="1"/>
      <w:numFmt w:val="lowerRoman"/>
      <w:lvlText w:val="%6."/>
      <w:lvlJc w:val="right"/>
      <w:pPr>
        <w:ind w:left="5040" w:hanging="180"/>
      </w:pPr>
    </w:lvl>
    <w:lvl w:ilvl="6" w:tplc="4B2EB9FE" w:tentative="1">
      <w:start w:val="1"/>
      <w:numFmt w:val="decimal"/>
      <w:lvlText w:val="%7."/>
      <w:lvlJc w:val="left"/>
      <w:pPr>
        <w:ind w:left="5760" w:hanging="360"/>
      </w:pPr>
    </w:lvl>
    <w:lvl w:ilvl="7" w:tplc="D1F421F8" w:tentative="1">
      <w:start w:val="1"/>
      <w:numFmt w:val="lowerLetter"/>
      <w:lvlText w:val="%8."/>
      <w:lvlJc w:val="left"/>
      <w:pPr>
        <w:ind w:left="6480" w:hanging="360"/>
      </w:pPr>
    </w:lvl>
    <w:lvl w:ilvl="8" w:tplc="98E2BB9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304F9"/>
    <w:multiLevelType w:val="hybridMultilevel"/>
    <w:tmpl w:val="D3C23CEE"/>
    <w:lvl w:ilvl="0" w:tplc="975AD5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C5A84B02" w:tentative="1">
      <w:start w:val="1"/>
      <w:numFmt w:val="lowerLetter"/>
      <w:lvlText w:val="%2."/>
      <w:lvlJc w:val="left"/>
      <w:pPr>
        <w:ind w:left="1080" w:hanging="360"/>
      </w:pPr>
    </w:lvl>
    <w:lvl w:ilvl="2" w:tplc="F21E0EE6" w:tentative="1">
      <w:start w:val="1"/>
      <w:numFmt w:val="lowerRoman"/>
      <w:lvlText w:val="%3."/>
      <w:lvlJc w:val="right"/>
      <w:pPr>
        <w:ind w:left="1800" w:hanging="180"/>
      </w:pPr>
    </w:lvl>
    <w:lvl w:ilvl="3" w:tplc="DE028F94" w:tentative="1">
      <w:start w:val="1"/>
      <w:numFmt w:val="decimal"/>
      <w:lvlText w:val="%4."/>
      <w:lvlJc w:val="left"/>
      <w:pPr>
        <w:ind w:left="2520" w:hanging="360"/>
      </w:pPr>
    </w:lvl>
    <w:lvl w:ilvl="4" w:tplc="91E0B736" w:tentative="1">
      <w:start w:val="1"/>
      <w:numFmt w:val="lowerLetter"/>
      <w:lvlText w:val="%5."/>
      <w:lvlJc w:val="left"/>
      <w:pPr>
        <w:ind w:left="3240" w:hanging="360"/>
      </w:pPr>
    </w:lvl>
    <w:lvl w:ilvl="5" w:tplc="48C06954" w:tentative="1">
      <w:start w:val="1"/>
      <w:numFmt w:val="lowerRoman"/>
      <w:lvlText w:val="%6."/>
      <w:lvlJc w:val="right"/>
      <w:pPr>
        <w:ind w:left="3960" w:hanging="180"/>
      </w:pPr>
    </w:lvl>
    <w:lvl w:ilvl="6" w:tplc="4CCEE394" w:tentative="1">
      <w:start w:val="1"/>
      <w:numFmt w:val="decimal"/>
      <w:lvlText w:val="%7."/>
      <w:lvlJc w:val="left"/>
      <w:pPr>
        <w:ind w:left="4680" w:hanging="360"/>
      </w:pPr>
    </w:lvl>
    <w:lvl w:ilvl="7" w:tplc="3392DEA2" w:tentative="1">
      <w:start w:val="1"/>
      <w:numFmt w:val="lowerLetter"/>
      <w:lvlText w:val="%8."/>
      <w:lvlJc w:val="left"/>
      <w:pPr>
        <w:ind w:left="5400" w:hanging="360"/>
      </w:pPr>
    </w:lvl>
    <w:lvl w:ilvl="8" w:tplc="9312892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7704C"/>
    <w:multiLevelType w:val="hybridMultilevel"/>
    <w:tmpl w:val="9A845966"/>
    <w:lvl w:ilvl="0" w:tplc="3A72A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2B2B4FA">
      <w:start w:val="1"/>
      <w:numFmt w:val="lowerLetter"/>
      <w:lvlText w:val="%2."/>
      <w:lvlJc w:val="left"/>
      <w:pPr>
        <w:ind w:left="1440" w:hanging="360"/>
      </w:pPr>
    </w:lvl>
    <w:lvl w:ilvl="2" w:tplc="5DECB0C8">
      <w:start w:val="1"/>
      <w:numFmt w:val="lowerRoman"/>
      <w:lvlText w:val="%3."/>
      <w:lvlJc w:val="right"/>
      <w:pPr>
        <w:ind w:left="2160" w:hanging="180"/>
      </w:pPr>
    </w:lvl>
    <w:lvl w:ilvl="3" w:tplc="A05ED5EC" w:tentative="1">
      <w:start w:val="1"/>
      <w:numFmt w:val="decimal"/>
      <w:lvlText w:val="%4."/>
      <w:lvlJc w:val="left"/>
      <w:pPr>
        <w:ind w:left="2880" w:hanging="360"/>
      </w:pPr>
    </w:lvl>
    <w:lvl w:ilvl="4" w:tplc="4918AC66" w:tentative="1">
      <w:start w:val="1"/>
      <w:numFmt w:val="lowerLetter"/>
      <w:lvlText w:val="%5."/>
      <w:lvlJc w:val="left"/>
      <w:pPr>
        <w:ind w:left="3600" w:hanging="360"/>
      </w:pPr>
    </w:lvl>
    <w:lvl w:ilvl="5" w:tplc="78A28496" w:tentative="1">
      <w:start w:val="1"/>
      <w:numFmt w:val="lowerRoman"/>
      <w:lvlText w:val="%6."/>
      <w:lvlJc w:val="right"/>
      <w:pPr>
        <w:ind w:left="4320" w:hanging="180"/>
      </w:pPr>
    </w:lvl>
    <w:lvl w:ilvl="6" w:tplc="18E0CC2E" w:tentative="1">
      <w:start w:val="1"/>
      <w:numFmt w:val="decimal"/>
      <w:lvlText w:val="%7."/>
      <w:lvlJc w:val="left"/>
      <w:pPr>
        <w:ind w:left="5040" w:hanging="360"/>
      </w:pPr>
    </w:lvl>
    <w:lvl w:ilvl="7" w:tplc="AD901FA6" w:tentative="1">
      <w:start w:val="1"/>
      <w:numFmt w:val="lowerLetter"/>
      <w:lvlText w:val="%8."/>
      <w:lvlJc w:val="left"/>
      <w:pPr>
        <w:ind w:left="5760" w:hanging="360"/>
      </w:pPr>
    </w:lvl>
    <w:lvl w:ilvl="8" w:tplc="97E0D6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7CB3"/>
    <w:multiLevelType w:val="hybridMultilevel"/>
    <w:tmpl w:val="7F38F5C8"/>
    <w:lvl w:ilvl="0" w:tplc="6464CB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2004E84" w:tentative="1">
      <w:start w:val="1"/>
      <w:numFmt w:val="lowerLetter"/>
      <w:lvlText w:val="%2."/>
      <w:lvlJc w:val="left"/>
      <w:pPr>
        <w:ind w:left="1440" w:hanging="360"/>
      </w:pPr>
    </w:lvl>
    <w:lvl w:ilvl="2" w:tplc="94F873A6" w:tentative="1">
      <w:start w:val="1"/>
      <w:numFmt w:val="lowerRoman"/>
      <w:lvlText w:val="%3."/>
      <w:lvlJc w:val="right"/>
      <w:pPr>
        <w:ind w:left="2160" w:hanging="180"/>
      </w:pPr>
    </w:lvl>
    <w:lvl w:ilvl="3" w:tplc="2C74C14A" w:tentative="1">
      <w:start w:val="1"/>
      <w:numFmt w:val="decimal"/>
      <w:lvlText w:val="%4."/>
      <w:lvlJc w:val="left"/>
      <w:pPr>
        <w:ind w:left="2880" w:hanging="360"/>
      </w:pPr>
    </w:lvl>
    <w:lvl w:ilvl="4" w:tplc="C840D768" w:tentative="1">
      <w:start w:val="1"/>
      <w:numFmt w:val="lowerLetter"/>
      <w:lvlText w:val="%5."/>
      <w:lvlJc w:val="left"/>
      <w:pPr>
        <w:ind w:left="3600" w:hanging="360"/>
      </w:pPr>
    </w:lvl>
    <w:lvl w:ilvl="5" w:tplc="5D9A4112" w:tentative="1">
      <w:start w:val="1"/>
      <w:numFmt w:val="lowerRoman"/>
      <w:lvlText w:val="%6."/>
      <w:lvlJc w:val="right"/>
      <w:pPr>
        <w:ind w:left="4320" w:hanging="180"/>
      </w:pPr>
    </w:lvl>
    <w:lvl w:ilvl="6" w:tplc="DA40555A" w:tentative="1">
      <w:start w:val="1"/>
      <w:numFmt w:val="decimal"/>
      <w:lvlText w:val="%7."/>
      <w:lvlJc w:val="left"/>
      <w:pPr>
        <w:ind w:left="5040" w:hanging="360"/>
      </w:pPr>
    </w:lvl>
    <w:lvl w:ilvl="7" w:tplc="E258D3AA" w:tentative="1">
      <w:start w:val="1"/>
      <w:numFmt w:val="lowerLetter"/>
      <w:lvlText w:val="%8."/>
      <w:lvlJc w:val="left"/>
      <w:pPr>
        <w:ind w:left="5760" w:hanging="360"/>
      </w:pPr>
    </w:lvl>
    <w:lvl w:ilvl="8" w:tplc="A95C9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8530D"/>
    <w:multiLevelType w:val="hybridMultilevel"/>
    <w:tmpl w:val="2EC8127E"/>
    <w:lvl w:ilvl="0" w:tplc="1682D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50CCED0" w:tentative="1">
      <w:start w:val="1"/>
      <w:numFmt w:val="lowerLetter"/>
      <w:lvlText w:val="%2."/>
      <w:lvlJc w:val="left"/>
      <w:pPr>
        <w:ind w:left="1800" w:hanging="360"/>
      </w:pPr>
    </w:lvl>
    <w:lvl w:ilvl="2" w:tplc="990A803E" w:tentative="1">
      <w:start w:val="1"/>
      <w:numFmt w:val="lowerRoman"/>
      <w:lvlText w:val="%3."/>
      <w:lvlJc w:val="right"/>
      <w:pPr>
        <w:ind w:left="2520" w:hanging="180"/>
      </w:pPr>
    </w:lvl>
    <w:lvl w:ilvl="3" w:tplc="38846A46" w:tentative="1">
      <w:start w:val="1"/>
      <w:numFmt w:val="decimal"/>
      <w:lvlText w:val="%4."/>
      <w:lvlJc w:val="left"/>
      <w:pPr>
        <w:ind w:left="3240" w:hanging="360"/>
      </w:pPr>
    </w:lvl>
    <w:lvl w:ilvl="4" w:tplc="96608E86" w:tentative="1">
      <w:start w:val="1"/>
      <w:numFmt w:val="lowerLetter"/>
      <w:lvlText w:val="%5."/>
      <w:lvlJc w:val="left"/>
      <w:pPr>
        <w:ind w:left="3960" w:hanging="360"/>
      </w:pPr>
    </w:lvl>
    <w:lvl w:ilvl="5" w:tplc="35FC4F0A" w:tentative="1">
      <w:start w:val="1"/>
      <w:numFmt w:val="lowerRoman"/>
      <w:lvlText w:val="%6."/>
      <w:lvlJc w:val="right"/>
      <w:pPr>
        <w:ind w:left="4680" w:hanging="180"/>
      </w:pPr>
    </w:lvl>
    <w:lvl w:ilvl="6" w:tplc="A7F6FF1C" w:tentative="1">
      <w:start w:val="1"/>
      <w:numFmt w:val="decimal"/>
      <w:lvlText w:val="%7."/>
      <w:lvlJc w:val="left"/>
      <w:pPr>
        <w:ind w:left="5400" w:hanging="360"/>
      </w:pPr>
    </w:lvl>
    <w:lvl w:ilvl="7" w:tplc="95A2E050" w:tentative="1">
      <w:start w:val="1"/>
      <w:numFmt w:val="lowerLetter"/>
      <w:lvlText w:val="%8."/>
      <w:lvlJc w:val="left"/>
      <w:pPr>
        <w:ind w:left="6120" w:hanging="360"/>
      </w:pPr>
    </w:lvl>
    <w:lvl w:ilvl="8" w:tplc="0F4AD0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050152"/>
    <w:multiLevelType w:val="hybridMultilevel"/>
    <w:tmpl w:val="CDB894D8"/>
    <w:lvl w:ilvl="0" w:tplc="B7BC1D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680216A">
      <w:start w:val="1"/>
      <w:numFmt w:val="lowerLetter"/>
      <w:lvlText w:val="%2."/>
      <w:lvlJc w:val="left"/>
      <w:pPr>
        <w:ind w:left="1440" w:hanging="360"/>
      </w:pPr>
    </w:lvl>
    <w:lvl w:ilvl="2" w:tplc="2BFA9A16" w:tentative="1">
      <w:start w:val="1"/>
      <w:numFmt w:val="lowerRoman"/>
      <w:lvlText w:val="%3."/>
      <w:lvlJc w:val="right"/>
      <w:pPr>
        <w:ind w:left="2160" w:hanging="180"/>
      </w:pPr>
    </w:lvl>
    <w:lvl w:ilvl="3" w:tplc="AA2AA81C" w:tentative="1">
      <w:start w:val="1"/>
      <w:numFmt w:val="decimal"/>
      <w:lvlText w:val="%4."/>
      <w:lvlJc w:val="left"/>
      <w:pPr>
        <w:ind w:left="2880" w:hanging="360"/>
      </w:pPr>
    </w:lvl>
    <w:lvl w:ilvl="4" w:tplc="B2142802" w:tentative="1">
      <w:start w:val="1"/>
      <w:numFmt w:val="lowerLetter"/>
      <w:lvlText w:val="%5."/>
      <w:lvlJc w:val="left"/>
      <w:pPr>
        <w:ind w:left="3600" w:hanging="360"/>
      </w:pPr>
    </w:lvl>
    <w:lvl w:ilvl="5" w:tplc="47D40DEE" w:tentative="1">
      <w:start w:val="1"/>
      <w:numFmt w:val="lowerRoman"/>
      <w:lvlText w:val="%6."/>
      <w:lvlJc w:val="right"/>
      <w:pPr>
        <w:ind w:left="4320" w:hanging="180"/>
      </w:pPr>
    </w:lvl>
    <w:lvl w:ilvl="6" w:tplc="EA2E78E4" w:tentative="1">
      <w:start w:val="1"/>
      <w:numFmt w:val="decimal"/>
      <w:lvlText w:val="%7."/>
      <w:lvlJc w:val="left"/>
      <w:pPr>
        <w:ind w:left="5040" w:hanging="360"/>
      </w:pPr>
    </w:lvl>
    <w:lvl w:ilvl="7" w:tplc="6216759A" w:tentative="1">
      <w:start w:val="1"/>
      <w:numFmt w:val="lowerLetter"/>
      <w:lvlText w:val="%8."/>
      <w:lvlJc w:val="left"/>
      <w:pPr>
        <w:ind w:left="5760" w:hanging="360"/>
      </w:pPr>
    </w:lvl>
    <w:lvl w:ilvl="8" w:tplc="00EEF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D363F"/>
    <w:multiLevelType w:val="hybridMultilevel"/>
    <w:tmpl w:val="423C47B6"/>
    <w:lvl w:ilvl="0" w:tplc="92843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B28CBE">
      <w:start w:val="1"/>
      <w:numFmt w:val="lowerLetter"/>
      <w:lvlText w:val="%2."/>
      <w:lvlJc w:val="left"/>
      <w:pPr>
        <w:ind w:left="1440" w:hanging="360"/>
      </w:pPr>
    </w:lvl>
    <w:lvl w:ilvl="2" w:tplc="DF241A66" w:tentative="1">
      <w:start w:val="1"/>
      <w:numFmt w:val="lowerRoman"/>
      <w:lvlText w:val="%3."/>
      <w:lvlJc w:val="right"/>
      <w:pPr>
        <w:ind w:left="2160" w:hanging="180"/>
      </w:pPr>
    </w:lvl>
    <w:lvl w:ilvl="3" w:tplc="0B3A1BF6" w:tentative="1">
      <w:start w:val="1"/>
      <w:numFmt w:val="decimal"/>
      <w:lvlText w:val="%4."/>
      <w:lvlJc w:val="left"/>
      <w:pPr>
        <w:ind w:left="2880" w:hanging="360"/>
      </w:pPr>
    </w:lvl>
    <w:lvl w:ilvl="4" w:tplc="F62237E6" w:tentative="1">
      <w:start w:val="1"/>
      <w:numFmt w:val="lowerLetter"/>
      <w:lvlText w:val="%5."/>
      <w:lvlJc w:val="left"/>
      <w:pPr>
        <w:ind w:left="3600" w:hanging="360"/>
      </w:pPr>
    </w:lvl>
    <w:lvl w:ilvl="5" w:tplc="C7024206" w:tentative="1">
      <w:start w:val="1"/>
      <w:numFmt w:val="lowerRoman"/>
      <w:lvlText w:val="%6."/>
      <w:lvlJc w:val="right"/>
      <w:pPr>
        <w:ind w:left="4320" w:hanging="180"/>
      </w:pPr>
    </w:lvl>
    <w:lvl w:ilvl="6" w:tplc="3D30C132" w:tentative="1">
      <w:start w:val="1"/>
      <w:numFmt w:val="decimal"/>
      <w:lvlText w:val="%7."/>
      <w:lvlJc w:val="left"/>
      <w:pPr>
        <w:ind w:left="5040" w:hanging="360"/>
      </w:pPr>
    </w:lvl>
    <w:lvl w:ilvl="7" w:tplc="0F881148" w:tentative="1">
      <w:start w:val="1"/>
      <w:numFmt w:val="lowerLetter"/>
      <w:lvlText w:val="%8."/>
      <w:lvlJc w:val="left"/>
      <w:pPr>
        <w:ind w:left="5760" w:hanging="360"/>
      </w:pPr>
    </w:lvl>
    <w:lvl w:ilvl="8" w:tplc="68ECA5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A0E6F"/>
    <w:multiLevelType w:val="hybridMultilevel"/>
    <w:tmpl w:val="718EE5AE"/>
    <w:lvl w:ilvl="0" w:tplc="A63242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E5BC1436" w:tentative="1">
      <w:start w:val="1"/>
      <w:numFmt w:val="lowerLetter"/>
      <w:lvlText w:val="%2."/>
      <w:lvlJc w:val="left"/>
      <w:pPr>
        <w:ind w:left="2160" w:hanging="360"/>
      </w:pPr>
    </w:lvl>
    <w:lvl w:ilvl="2" w:tplc="E340C644" w:tentative="1">
      <w:start w:val="1"/>
      <w:numFmt w:val="lowerRoman"/>
      <w:lvlText w:val="%3."/>
      <w:lvlJc w:val="right"/>
      <w:pPr>
        <w:ind w:left="2880" w:hanging="180"/>
      </w:pPr>
    </w:lvl>
    <w:lvl w:ilvl="3" w:tplc="B11AE236" w:tentative="1">
      <w:start w:val="1"/>
      <w:numFmt w:val="decimal"/>
      <w:lvlText w:val="%4."/>
      <w:lvlJc w:val="left"/>
      <w:pPr>
        <w:ind w:left="3600" w:hanging="360"/>
      </w:pPr>
    </w:lvl>
    <w:lvl w:ilvl="4" w:tplc="D8468DC8" w:tentative="1">
      <w:start w:val="1"/>
      <w:numFmt w:val="lowerLetter"/>
      <w:lvlText w:val="%5."/>
      <w:lvlJc w:val="left"/>
      <w:pPr>
        <w:ind w:left="4320" w:hanging="360"/>
      </w:pPr>
    </w:lvl>
    <w:lvl w:ilvl="5" w:tplc="C6C28BA6" w:tentative="1">
      <w:start w:val="1"/>
      <w:numFmt w:val="lowerRoman"/>
      <w:lvlText w:val="%6."/>
      <w:lvlJc w:val="right"/>
      <w:pPr>
        <w:ind w:left="5040" w:hanging="180"/>
      </w:pPr>
    </w:lvl>
    <w:lvl w:ilvl="6" w:tplc="D64E2428" w:tentative="1">
      <w:start w:val="1"/>
      <w:numFmt w:val="decimal"/>
      <w:lvlText w:val="%7."/>
      <w:lvlJc w:val="left"/>
      <w:pPr>
        <w:ind w:left="5760" w:hanging="360"/>
      </w:pPr>
    </w:lvl>
    <w:lvl w:ilvl="7" w:tplc="8D6AA780" w:tentative="1">
      <w:start w:val="1"/>
      <w:numFmt w:val="lowerLetter"/>
      <w:lvlText w:val="%8."/>
      <w:lvlJc w:val="left"/>
      <w:pPr>
        <w:ind w:left="6480" w:hanging="360"/>
      </w:pPr>
    </w:lvl>
    <w:lvl w:ilvl="8" w:tplc="840C1E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086877"/>
    <w:multiLevelType w:val="hybridMultilevel"/>
    <w:tmpl w:val="E26E3E4A"/>
    <w:lvl w:ilvl="0" w:tplc="48AECAC6">
      <w:start w:val="1"/>
      <w:numFmt w:val="decimal"/>
      <w:lvlText w:val="%1."/>
      <w:lvlJc w:val="left"/>
      <w:pPr>
        <w:ind w:left="720" w:hanging="360"/>
      </w:pPr>
    </w:lvl>
    <w:lvl w:ilvl="1" w:tplc="B3369708">
      <w:start w:val="1"/>
      <w:numFmt w:val="lowerLetter"/>
      <w:lvlText w:val="%2."/>
      <w:lvlJc w:val="left"/>
      <w:pPr>
        <w:ind w:left="1440" w:hanging="360"/>
      </w:pPr>
    </w:lvl>
    <w:lvl w:ilvl="2" w:tplc="7C24F21C" w:tentative="1">
      <w:start w:val="1"/>
      <w:numFmt w:val="lowerRoman"/>
      <w:lvlText w:val="%3."/>
      <w:lvlJc w:val="right"/>
      <w:pPr>
        <w:ind w:left="2160" w:hanging="180"/>
      </w:pPr>
    </w:lvl>
    <w:lvl w:ilvl="3" w:tplc="D0EA400C" w:tentative="1">
      <w:start w:val="1"/>
      <w:numFmt w:val="decimal"/>
      <w:lvlText w:val="%4."/>
      <w:lvlJc w:val="left"/>
      <w:pPr>
        <w:ind w:left="2880" w:hanging="360"/>
      </w:pPr>
    </w:lvl>
    <w:lvl w:ilvl="4" w:tplc="71E618C2" w:tentative="1">
      <w:start w:val="1"/>
      <w:numFmt w:val="lowerLetter"/>
      <w:lvlText w:val="%5."/>
      <w:lvlJc w:val="left"/>
      <w:pPr>
        <w:ind w:left="3600" w:hanging="360"/>
      </w:pPr>
    </w:lvl>
    <w:lvl w:ilvl="5" w:tplc="0A5A9096" w:tentative="1">
      <w:start w:val="1"/>
      <w:numFmt w:val="lowerRoman"/>
      <w:lvlText w:val="%6."/>
      <w:lvlJc w:val="right"/>
      <w:pPr>
        <w:ind w:left="4320" w:hanging="180"/>
      </w:pPr>
    </w:lvl>
    <w:lvl w:ilvl="6" w:tplc="3432F13C" w:tentative="1">
      <w:start w:val="1"/>
      <w:numFmt w:val="decimal"/>
      <w:lvlText w:val="%7."/>
      <w:lvlJc w:val="left"/>
      <w:pPr>
        <w:ind w:left="5040" w:hanging="360"/>
      </w:pPr>
    </w:lvl>
    <w:lvl w:ilvl="7" w:tplc="4A04CFC0" w:tentative="1">
      <w:start w:val="1"/>
      <w:numFmt w:val="lowerLetter"/>
      <w:lvlText w:val="%8."/>
      <w:lvlJc w:val="left"/>
      <w:pPr>
        <w:ind w:left="5760" w:hanging="360"/>
      </w:pPr>
    </w:lvl>
    <w:lvl w:ilvl="8" w:tplc="846A438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BA"/>
    <w:rsid w:val="006F12BA"/>
    <w:rsid w:val="009414DB"/>
    <w:rsid w:val="00C67681"/>
    <w:rsid w:val="00D0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FFB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jc w:val="center"/>
      <w:outlineLvl w:val="0"/>
    </w:pPr>
    <w:rPr>
      <w:rFonts w:eastAsiaTheme="majorEastAsia"/>
      <w:b/>
      <w:bCs/>
      <w:smallCap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numId w:val="2"/>
      </w:numPr>
      <w:spacing w:before="200"/>
      <w:jc w:val="left"/>
      <w:outlineLvl w:val="2"/>
    </w:pPr>
    <w:rPr>
      <w:rFonts w:eastAsiaTheme="majorEastAsi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/>
      <w:b/>
      <w:bCs/>
      <w:smallCap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/>
      <w:b/>
      <w:bCs/>
      <w:u w:val="single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</w:style>
  <w:style w:type="character" w:customStyle="1" w:styleId="DocID">
    <w:name w:val="DocID"/>
    <w:basedOn w:val="DefaultParagraphFont"/>
    <w:rsid w:val="003631E4"/>
    <w:rPr>
      <w:rFonts w:ascii="Times New Roman" w:hAnsi="Times New Roman" w:cs="Times New Roman"/>
      <w:b w:val="0"/>
      <w:i w:val="0"/>
      <w:caps w:val="0"/>
      <w:vanish w:val="0"/>
      <w:color w:val="000000"/>
      <w:sz w:val="16"/>
      <w:u w:val="none"/>
    </w:rPr>
  </w:style>
  <w:style w:type="paragraph" w:customStyle="1" w:styleId="SingleSpace">
    <w:name w:val="Single Space"/>
    <w:basedOn w:val="Normal"/>
    <w:link w:val="SingleSpaceChar"/>
    <w:rsid w:val="002C2889"/>
    <w:pPr>
      <w:jc w:val="left"/>
    </w:pPr>
  </w:style>
  <w:style w:type="character" w:customStyle="1" w:styleId="SingleSpaceChar">
    <w:name w:val="Single Space Char"/>
    <w:basedOn w:val="DefaultParagraphFont"/>
    <w:link w:val="SingleSpace"/>
    <w:rsid w:val="002C2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5035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1901-01-01T05:00:00Z</cp:lastPrinted>
  <dcterms:created xsi:type="dcterms:W3CDTF">2017-09-11T13:40:00Z</dcterms:created>
  <dcterms:modified xsi:type="dcterms:W3CDTF">2017-09-11T13:40:00Z</dcterms:modified>
</cp:coreProperties>
</file>