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98CBB" w14:textId="77777777" w:rsidR="00077FD5" w:rsidRDefault="00077FD5" w:rsidP="00FF7661">
      <w:pPr>
        <w:spacing w:after="0"/>
        <w:jc w:val="center"/>
        <w:rPr>
          <w:b/>
          <w:i/>
        </w:rPr>
      </w:pPr>
      <w:bookmarkStart w:id="0" w:name="_GoBack"/>
      <w:bookmarkEnd w:id="0"/>
      <w:r>
        <w:rPr>
          <w:b/>
          <w:i/>
        </w:rPr>
        <w:t>AEJI Conference</w:t>
      </w:r>
    </w:p>
    <w:p w14:paraId="5C28D3E6" w14:textId="2D7C8DE4" w:rsidR="00077FD5" w:rsidRPr="005363F8" w:rsidRDefault="00077FD5" w:rsidP="005363F8">
      <w:pPr>
        <w:spacing w:after="0"/>
        <w:jc w:val="center"/>
        <w:rPr>
          <w:b/>
          <w:i/>
        </w:rPr>
      </w:pPr>
      <w:r>
        <w:rPr>
          <w:b/>
          <w:i/>
        </w:rPr>
        <w:t>“</w:t>
      </w:r>
      <w:r w:rsidR="002D3E26" w:rsidRPr="002D3E26">
        <w:rPr>
          <w:b/>
          <w:i/>
        </w:rPr>
        <w:t>Riding the Wave of Litigation Following a 'Bombshell' Change in the Law</w:t>
      </w:r>
      <w:r>
        <w:rPr>
          <w:b/>
          <w:i/>
        </w:rPr>
        <w:t xml:space="preserve">” </w:t>
      </w:r>
      <w:r w:rsidRPr="00F84058">
        <w:rPr>
          <w:b/>
          <w:i/>
        </w:rPr>
        <w:t>Panel</w:t>
      </w:r>
      <w:r>
        <w:rPr>
          <w:b/>
          <w:i/>
        </w:rPr>
        <w:t xml:space="preserve"> Discussion</w:t>
      </w:r>
    </w:p>
    <w:p w14:paraId="25560309" w14:textId="62648E9F" w:rsidR="00077FD5" w:rsidRPr="00FF7661" w:rsidRDefault="00077FD5" w:rsidP="00FF7661">
      <w:pPr>
        <w:spacing w:after="0"/>
        <w:jc w:val="center"/>
        <w:rPr>
          <w:b/>
          <w:i/>
        </w:rPr>
      </w:pPr>
      <w:r>
        <w:rPr>
          <w:b/>
          <w:i/>
        </w:rPr>
        <w:t xml:space="preserve">November </w:t>
      </w:r>
      <w:r w:rsidR="002D3E26">
        <w:rPr>
          <w:b/>
          <w:i/>
        </w:rPr>
        <w:t>3, 2017</w:t>
      </w:r>
      <w:r w:rsidR="0020606A">
        <w:rPr>
          <w:b/>
          <w:i/>
        </w:rPr>
        <w:t xml:space="preserve"> - </w:t>
      </w:r>
      <w:r w:rsidR="002D3E26">
        <w:rPr>
          <w:b/>
          <w:i/>
        </w:rPr>
        <w:t>11:30 a</w:t>
      </w:r>
      <w:r>
        <w:rPr>
          <w:b/>
          <w:i/>
        </w:rPr>
        <w:t>.</w:t>
      </w:r>
      <w:r w:rsidR="002D3E26">
        <w:rPr>
          <w:b/>
          <w:i/>
        </w:rPr>
        <w:t>m</w:t>
      </w:r>
      <w:r w:rsidR="0020606A">
        <w:rPr>
          <w:b/>
          <w:i/>
        </w:rPr>
        <w:t>.-12:30 p.m.</w:t>
      </w:r>
    </w:p>
    <w:p w14:paraId="6FBF39FF" w14:textId="77777777" w:rsidR="00077FD5" w:rsidRDefault="00077FD5" w:rsidP="005363F8">
      <w:pPr>
        <w:spacing w:after="0"/>
        <w:rPr>
          <w:i/>
        </w:rPr>
      </w:pPr>
    </w:p>
    <w:p w14:paraId="1620E1A7" w14:textId="77777777" w:rsidR="00077FD5" w:rsidRDefault="00077FD5" w:rsidP="005363F8">
      <w:pPr>
        <w:spacing w:after="0"/>
      </w:pPr>
      <w:r>
        <w:rPr>
          <w:i/>
          <w:u w:val="single"/>
        </w:rPr>
        <w:t>Participants</w:t>
      </w:r>
    </w:p>
    <w:p w14:paraId="067D7A72" w14:textId="77777777" w:rsidR="00077FD5" w:rsidRDefault="00077FD5" w:rsidP="005363F8">
      <w:pPr>
        <w:spacing w:after="0"/>
      </w:pPr>
    </w:p>
    <w:p w14:paraId="16CF126D" w14:textId="5B10F063" w:rsidR="00077FD5" w:rsidRPr="009424D8" w:rsidRDefault="00077FD5" w:rsidP="005363F8">
      <w:pPr>
        <w:spacing w:after="0"/>
        <w:rPr>
          <w:i/>
        </w:rPr>
      </w:pPr>
      <w:r>
        <w:t xml:space="preserve">Moderator and panelist, </w:t>
      </w:r>
      <w:r w:rsidR="002D3E26">
        <w:t>Leah M Litman</w:t>
      </w:r>
      <w:r>
        <w:t xml:space="preserve">, </w:t>
      </w:r>
      <w:r w:rsidR="002D3E26">
        <w:rPr>
          <w:i/>
        </w:rPr>
        <w:t>University of California Irvine, School of Law</w:t>
      </w:r>
    </w:p>
    <w:p w14:paraId="2A840933" w14:textId="0D27940F" w:rsidR="00800293" w:rsidRPr="002D3E26" w:rsidRDefault="00077FD5" w:rsidP="002D3E26">
      <w:pPr>
        <w:spacing w:after="0"/>
        <w:rPr>
          <w:i/>
        </w:rPr>
      </w:pPr>
      <w:r>
        <w:t xml:space="preserve">Panelist, </w:t>
      </w:r>
      <w:r w:rsidR="00800293" w:rsidRPr="00800293">
        <w:rPr>
          <w:rFonts w:eastAsia="Times New Roman"/>
          <w:color w:val="000000"/>
        </w:rPr>
        <w:t xml:space="preserve">Lisa </w:t>
      </w:r>
      <w:r w:rsidR="002D3E26">
        <w:rPr>
          <w:rFonts w:eastAsia="Times New Roman"/>
          <w:color w:val="000000"/>
        </w:rPr>
        <w:t xml:space="preserve">B. </w:t>
      </w:r>
      <w:r w:rsidR="00800293" w:rsidRPr="00800293">
        <w:rPr>
          <w:rFonts w:eastAsia="Times New Roman"/>
          <w:color w:val="000000"/>
        </w:rPr>
        <w:t>Fitzgerald</w:t>
      </w:r>
      <w:r w:rsidR="002D3E26">
        <w:rPr>
          <w:rFonts w:eastAsia="Times New Roman"/>
          <w:color w:val="000000"/>
        </w:rPr>
        <w:t>,</w:t>
      </w:r>
      <w:r w:rsidR="00800293" w:rsidRPr="00800293">
        <w:rPr>
          <w:rFonts w:eastAsia="Times New Roman"/>
          <w:color w:val="000000"/>
        </w:rPr>
        <w:t xml:space="preserve"> </w:t>
      </w:r>
      <w:r w:rsidR="002D3E26" w:rsidRPr="002D3E26">
        <w:rPr>
          <w:rFonts w:eastAsia="Times New Roman"/>
          <w:i/>
          <w:color w:val="000000"/>
        </w:rPr>
        <w:t>Ninth Circuit Court of Appeals Staff Attorneys’ O</w:t>
      </w:r>
      <w:r w:rsidR="00800293" w:rsidRPr="002D3E26">
        <w:rPr>
          <w:rFonts w:eastAsia="Times New Roman"/>
          <w:i/>
          <w:color w:val="000000"/>
        </w:rPr>
        <w:t>ffice</w:t>
      </w:r>
    </w:p>
    <w:p w14:paraId="10DAADA0" w14:textId="4267B786" w:rsidR="00800293" w:rsidRDefault="002D3E26" w:rsidP="005363F8">
      <w:pPr>
        <w:spacing w:after="0"/>
        <w:rPr>
          <w:i/>
        </w:rPr>
      </w:pPr>
      <w:r>
        <w:rPr>
          <w:rFonts w:eastAsia="Times New Roman"/>
          <w:color w:val="000000"/>
        </w:rPr>
        <w:t xml:space="preserve">Panelist, </w:t>
      </w:r>
      <w:r w:rsidR="00800293" w:rsidRPr="002D3E26">
        <w:t xml:space="preserve">Heidi </w:t>
      </w:r>
      <w:proofErr w:type="spellStart"/>
      <w:r w:rsidR="00800293" w:rsidRPr="002D3E26">
        <w:t>Rummel</w:t>
      </w:r>
      <w:proofErr w:type="spellEnd"/>
      <w:r w:rsidR="00800293" w:rsidRPr="002D3E26">
        <w:t>,</w:t>
      </w:r>
      <w:r w:rsidR="00800293">
        <w:rPr>
          <w:i/>
        </w:rPr>
        <w:t xml:space="preserve"> USC Gould School of Law</w:t>
      </w:r>
    </w:p>
    <w:p w14:paraId="7A777B23" w14:textId="77777777" w:rsidR="00077FD5" w:rsidRPr="00FF7661" w:rsidRDefault="00077FD5" w:rsidP="005363F8">
      <w:pPr>
        <w:spacing w:after="0"/>
      </w:pPr>
    </w:p>
    <w:p w14:paraId="54BBEE37" w14:textId="77777777" w:rsidR="00077FD5" w:rsidRDefault="00077FD5" w:rsidP="005363F8">
      <w:pPr>
        <w:spacing w:after="0"/>
      </w:pPr>
      <w:r>
        <w:rPr>
          <w:i/>
          <w:u w:val="single"/>
        </w:rPr>
        <w:t>Learning Objectives</w:t>
      </w:r>
    </w:p>
    <w:p w14:paraId="48AEA19A" w14:textId="77777777" w:rsidR="00077FD5" w:rsidRDefault="00077FD5" w:rsidP="005363F8">
      <w:pPr>
        <w:spacing w:after="0"/>
      </w:pPr>
    </w:p>
    <w:p w14:paraId="6E7A60D1" w14:textId="068CBC3B" w:rsidR="00077FD5" w:rsidRDefault="00077FD5" w:rsidP="005363F8">
      <w:pPr>
        <w:spacing w:after="0"/>
      </w:pPr>
      <w:r>
        <w:t xml:space="preserve">The panelists will provide an up-to-date summary of decisional and statutory law governing (1) </w:t>
      </w:r>
      <w:r w:rsidR="002D3E26">
        <w:t xml:space="preserve">federal </w:t>
      </w:r>
      <w:proofErr w:type="spellStart"/>
      <w:r w:rsidR="002D3E26">
        <w:t>resentencings</w:t>
      </w:r>
      <w:proofErr w:type="spellEnd"/>
      <w:r w:rsidR="002D3E26">
        <w:t xml:space="preserve"> in light of the Supreme Court’s decision in </w:t>
      </w:r>
      <w:r w:rsidR="002D3E26">
        <w:rPr>
          <w:i/>
        </w:rPr>
        <w:t>Johnson v. United States</w:t>
      </w:r>
      <w:r>
        <w:t xml:space="preserve">; (2) </w:t>
      </w:r>
      <w:r w:rsidR="002D3E26">
        <w:t xml:space="preserve">and federal and state </w:t>
      </w:r>
      <w:proofErr w:type="spellStart"/>
      <w:r w:rsidR="002D3E26">
        <w:t>resentencings</w:t>
      </w:r>
      <w:proofErr w:type="spellEnd"/>
      <w:r w:rsidR="002D3E26">
        <w:t xml:space="preserve"> in light of the Supreme Court’s decision in </w:t>
      </w:r>
      <w:r w:rsidR="002D3E26">
        <w:rPr>
          <w:i/>
        </w:rPr>
        <w:t>Miller v. Alabama</w:t>
      </w:r>
      <w:r>
        <w:t xml:space="preserve">.  They will examine how the law </w:t>
      </w:r>
      <w:r w:rsidR="002D3E26">
        <w:t>changed</w:t>
      </w:r>
      <w:r>
        <w:t xml:space="preserve"> in these areas, </w:t>
      </w:r>
      <w:r w:rsidR="002D3E26">
        <w:t>the volume of cases affected, and the different tactics that have been adopted to process the volume of cases that were affected by these decisions.  The responses of legislatures, clerks, courts, prison officials, public defenders’ officers, and other groups will be discussed</w:t>
      </w:r>
      <w:r>
        <w:t xml:space="preserve">.  The panel will discuss the legal and practical impacts of these changes, and what </w:t>
      </w:r>
      <w:r w:rsidR="002D3E26">
        <w:t>tactics may be applied to address future “bombshell” changes in the law</w:t>
      </w:r>
      <w:r>
        <w:t>.</w:t>
      </w:r>
    </w:p>
    <w:p w14:paraId="67E123E4" w14:textId="77777777" w:rsidR="00077FD5" w:rsidRDefault="00077FD5" w:rsidP="005363F8">
      <w:pPr>
        <w:spacing w:after="0"/>
      </w:pPr>
    </w:p>
    <w:p w14:paraId="432AC64F" w14:textId="77777777" w:rsidR="00077FD5" w:rsidRPr="00FF7661" w:rsidRDefault="00077FD5" w:rsidP="005363F8">
      <w:pPr>
        <w:spacing w:after="0"/>
      </w:pPr>
      <w:r>
        <w:rPr>
          <w:i/>
          <w:u w:val="single"/>
        </w:rPr>
        <w:t>Topical Outline</w:t>
      </w:r>
    </w:p>
    <w:p w14:paraId="5B068E6D" w14:textId="77777777" w:rsidR="00077FD5" w:rsidRDefault="00077FD5" w:rsidP="005363F8">
      <w:pPr>
        <w:spacing w:after="0"/>
      </w:pPr>
    </w:p>
    <w:p w14:paraId="2592E19D" w14:textId="11925EC4" w:rsidR="00077FD5" w:rsidRPr="003F7E86" w:rsidRDefault="00077FD5" w:rsidP="008B60BC">
      <w:pPr>
        <w:tabs>
          <w:tab w:val="left" w:pos="360"/>
          <w:tab w:val="left" w:pos="990"/>
        </w:tabs>
        <w:spacing w:after="0"/>
        <w:ind w:left="360" w:hanging="360"/>
      </w:pPr>
      <w:r w:rsidRPr="003F7E86">
        <w:t>I.</w:t>
      </w:r>
      <w:r w:rsidRPr="003F7E86">
        <w:tab/>
      </w:r>
      <w:r w:rsidR="002D3E26">
        <w:t xml:space="preserve">Background on </w:t>
      </w:r>
      <w:r w:rsidR="002D3E26">
        <w:rPr>
          <w:i/>
        </w:rPr>
        <w:t>Johnson v. United States</w:t>
      </w:r>
      <w:r w:rsidR="002D3E26">
        <w:t>.</w:t>
      </w:r>
      <w:r w:rsidRPr="003F7E86">
        <w:t xml:space="preserve"> </w:t>
      </w:r>
    </w:p>
    <w:p w14:paraId="0EE5FABC" w14:textId="77777777" w:rsidR="00077FD5" w:rsidRPr="003F7E86" w:rsidRDefault="00077FD5" w:rsidP="008B60BC">
      <w:pPr>
        <w:tabs>
          <w:tab w:val="left" w:pos="360"/>
          <w:tab w:val="left" w:pos="990"/>
        </w:tabs>
        <w:spacing w:after="0"/>
        <w:ind w:left="360" w:hanging="360"/>
      </w:pPr>
    </w:p>
    <w:p w14:paraId="27D0C8B4" w14:textId="7F3A291F" w:rsidR="00077FD5" w:rsidRPr="002D3E26" w:rsidRDefault="00077FD5" w:rsidP="008B60BC">
      <w:pPr>
        <w:tabs>
          <w:tab w:val="left" w:pos="360"/>
          <w:tab w:val="left" w:pos="990"/>
        </w:tabs>
        <w:spacing w:after="0"/>
        <w:ind w:left="360" w:hanging="360"/>
      </w:pPr>
      <w:r w:rsidRPr="003F7E86">
        <w:t>II.</w:t>
      </w:r>
      <w:r w:rsidRPr="003F7E86">
        <w:tab/>
      </w:r>
      <w:r w:rsidR="002D3E26">
        <w:t xml:space="preserve">What kinds of cases were affected by </w:t>
      </w:r>
      <w:r w:rsidR="002D3E26" w:rsidRPr="002D3E26">
        <w:rPr>
          <w:i/>
        </w:rPr>
        <w:t>Johnson</w:t>
      </w:r>
      <w:r w:rsidR="002D3E26">
        <w:t xml:space="preserve">?  What did courts, staff attorneys, and public offenders do to sort through cases that might be affected by </w:t>
      </w:r>
      <w:r w:rsidR="002D3E26">
        <w:rPr>
          <w:i/>
        </w:rPr>
        <w:t>Johnson</w:t>
      </w:r>
      <w:r w:rsidR="002D3E26">
        <w:t>?</w:t>
      </w:r>
    </w:p>
    <w:p w14:paraId="0FB06308" w14:textId="77777777" w:rsidR="00077FD5" w:rsidRDefault="00077FD5" w:rsidP="008B60BC">
      <w:pPr>
        <w:tabs>
          <w:tab w:val="left" w:pos="360"/>
          <w:tab w:val="left" w:pos="990"/>
        </w:tabs>
        <w:spacing w:after="0"/>
        <w:ind w:left="360" w:hanging="360"/>
      </w:pPr>
    </w:p>
    <w:p w14:paraId="7CD3E1E0" w14:textId="05C84CB9" w:rsidR="00077FD5" w:rsidRPr="002D3E26" w:rsidRDefault="00077FD5" w:rsidP="008B60BC">
      <w:pPr>
        <w:tabs>
          <w:tab w:val="left" w:pos="360"/>
          <w:tab w:val="left" w:pos="720"/>
        </w:tabs>
        <w:spacing w:after="0"/>
        <w:ind w:left="720" w:hanging="720"/>
      </w:pPr>
      <w:r>
        <w:tab/>
      </w:r>
      <w:r>
        <w:rPr>
          <w:rFonts w:cs="Calibri"/>
        </w:rPr>
        <w:t>●</w:t>
      </w:r>
      <w:r>
        <w:tab/>
      </w:r>
      <w:r w:rsidR="002D3E26">
        <w:t xml:space="preserve">Easy to identify group of prisoners possibly affected; harder to identify which sentences depended on provision invalidated in </w:t>
      </w:r>
      <w:r w:rsidR="002D3E26">
        <w:rPr>
          <w:i/>
        </w:rPr>
        <w:t>Johnson</w:t>
      </w:r>
    </w:p>
    <w:p w14:paraId="678D4283" w14:textId="15AB855B" w:rsidR="00077FD5" w:rsidRPr="003F7E86" w:rsidRDefault="00077FD5" w:rsidP="008B60BC">
      <w:pPr>
        <w:tabs>
          <w:tab w:val="left" w:pos="360"/>
          <w:tab w:val="left" w:pos="720"/>
        </w:tabs>
        <w:spacing w:after="0"/>
        <w:ind w:left="720" w:hanging="720"/>
      </w:pPr>
      <w:r w:rsidRPr="003F7E86">
        <w:tab/>
      </w:r>
      <w:r>
        <w:rPr>
          <w:rFonts w:cs="Calibri"/>
        </w:rPr>
        <w:t>●</w:t>
      </w:r>
      <w:r w:rsidRPr="003F7E86">
        <w:tab/>
      </w:r>
      <w:r>
        <w:t xml:space="preserve">Difficulty of </w:t>
      </w:r>
      <w:r w:rsidR="002D3E26">
        <w:t>releasing data to prisoners; delegating sourcing to public defenders offices or prison officials</w:t>
      </w:r>
    </w:p>
    <w:p w14:paraId="313D8A69" w14:textId="3C81025F" w:rsidR="00077FD5" w:rsidRDefault="00077FD5" w:rsidP="008B60BC">
      <w:pPr>
        <w:tabs>
          <w:tab w:val="left" w:pos="360"/>
          <w:tab w:val="left" w:pos="720"/>
        </w:tabs>
        <w:spacing w:after="0"/>
        <w:ind w:left="720" w:hanging="720"/>
      </w:pPr>
      <w:r>
        <w:tab/>
      </w:r>
      <w:r>
        <w:rPr>
          <w:rFonts w:cs="Calibri"/>
        </w:rPr>
        <w:t>●</w:t>
      </w:r>
      <w:r>
        <w:rPr>
          <w:rFonts w:cs="Calibri"/>
        </w:rPr>
        <w:tab/>
      </w:r>
      <w:r w:rsidR="002D3E26">
        <w:t xml:space="preserve">Difficulty of relying on courts and staff attorneys </w:t>
      </w:r>
      <w:proofErr w:type="spellStart"/>
      <w:r w:rsidR="002D3E26">
        <w:t>ofices</w:t>
      </w:r>
      <w:proofErr w:type="spellEnd"/>
    </w:p>
    <w:p w14:paraId="20F3AA6C" w14:textId="77777777" w:rsidR="00077FD5" w:rsidRPr="003F7E86" w:rsidRDefault="00077FD5" w:rsidP="008B60BC">
      <w:pPr>
        <w:tabs>
          <w:tab w:val="left" w:pos="360"/>
          <w:tab w:val="left" w:pos="990"/>
        </w:tabs>
        <w:spacing w:after="0"/>
        <w:ind w:left="360" w:hanging="360"/>
      </w:pPr>
    </w:p>
    <w:p w14:paraId="041BA1A6" w14:textId="7486E632" w:rsidR="00077FD5" w:rsidRPr="003F7E86" w:rsidRDefault="00077FD5" w:rsidP="008B60BC">
      <w:pPr>
        <w:tabs>
          <w:tab w:val="left" w:pos="360"/>
          <w:tab w:val="left" w:pos="990"/>
        </w:tabs>
        <w:spacing w:after="0"/>
        <w:ind w:left="360" w:hanging="360"/>
      </w:pPr>
      <w:r w:rsidRPr="003F7E86">
        <w:t>I</w:t>
      </w:r>
      <w:r>
        <w:t>II</w:t>
      </w:r>
      <w:r w:rsidRPr="003F7E86">
        <w:t>.</w:t>
      </w:r>
      <w:r w:rsidRPr="003F7E86">
        <w:tab/>
      </w:r>
      <w:r w:rsidR="002D3E26">
        <w:t xml:space="preserve">Background on </w:t>
      </w:r>
      <w:r w:rsidR="002D3E26">
        <w:rPr>
          <w:i/>
        </w:rPr>
        <w:t>Miller v. Alabama</w:t>
      </w:r>
      <w:r w:rsidR="002D3E26">
        <w:t>.</w:t>
      </w:r>
      <w:r w:rsidR="002D3E26" w:rsidRPr="003F7E86">
        <w:t xml:space="preserve"> </w:t>
      </w:r>
      <w:r w:rsidRPr="003F7E86">
        <w:t xml:space="preserve"> </w:t>
      </w:r>
    </w:p>
    <w:p w14:paraId="33150B3D" w14:textId="77777777" w:rsidR="00077FD5" w:rsidRPr="003F7E86" w:rsidRDefault="00077FD5" w:rsidP="008B60BC">
      <w:pPr>
        <w:tabs>
          <w:tab w:val="left" w:pos="360"/>
          <w:tab w:val="left" w:pos="990"/>
        </w:tabs>
        <w:spacing w:after="0"/>
        <w:ind w:left="360" w:hanging="360"/>
      </w:pPr>
    </w:p>
    <w:p w14:paraId="495CFAE4" w14:textId="3ABC89D8" w:rsidR="00077FD5" w:rsidRPr="003F7E86" w:rsidRDefault="00077FD5" w:rsidP="008B60BC">
      <w:pPr>
        <w:tabs>
          <w:tab w:val="left" w:pos="360"/>
          <w:tab w:val="left" w:pos="990"/>
        </w:tabs>
        <w:spacing w:after="0"/>
        <w:ind w:left="360" w:hanging="360"/>
      </w:pPr>
      <w:r>
        <w:t>I</w:t>
      </w:r>
      <w:r w:rsidRPr="003F7E86">
        <w:t>V.</w:t>
      </w:r>
      <w:r w:rsidRPr="003F7E86">
        <w:tab/>
      </w:r>
      <w:r w:rsidR="002D3E26">
        <w:t xml:space="preserve">How are legislatures addressing this decision? </w:t>
      </w:r>
      <w:r w:rsidRPr="003F7E86">
        <w:t xml:space="preserve">Is this good? </w:t>
      </w:r>
      <w:r w:rsidR="002D3E26">
        <w:t xml:space="preserve"> What are the implications of these legislative </w:t>
      </w:r>
      <w:r w:rsidR="00DC45ED">
        <w:t>responses</w:t>
      </w:r>
      <w:r w:rsidR="002D3E26">
        <w:t>?</w:t>
      </w:r>
      <w:r w:rsidRPr="003F7E86">
        <w:t xml:space="preserve"> Is any response better than the others?</w:t>
      </w:r>
    </w:p>
    <w:p w14:paraId="0F11E252" w14:textId="11FAD769" w:rsidR="00077FD5" w:rsidRDefault="00077FD5" w:rsidP="008B60BC">
      <w:pPr>
        <w:tabs>
          <w:tab w:val="left" w:pos="360"/>
          <w:tab w:val="left" w:pos="990"/>
        </w:tabs>
        <w:spacing w:after="0"/>
        <w:ind w:left="360" w:hanging="360"/>
      </w:pPr>
    </w:p>
    <w:p w14:paraId="08627506" w14:textId="098344C0" w:rsidR="00DC45ED" w:rsidRPr="00DC45ED" w:rsidRDefault="00077FD5" w:rsidP="008B60BC">
      <w:pPr>
        <w:tabs>
          <w:tab w:val="left" w:pos="360"/>
          <w:tab w:val="left" w:pos="990"/>
        </w:tabs>
        <w:spacing w:after="0"/>
        <w:ind w:left="360" w:hanging="360"/>
      </w:pPr>
      <w:r w:rsidRPr="003F7E86">
        <w:t>V.</w:t>
      </w:r>
      <w:r w:rsidRPr="003F7E86">
        <w:tab/>
      </w:r>
      <w:r w:rsidR="00DC45ED">
        <w:t xml:space="preserve">How are courts and prosecutors addressing </w:t>
      </w:r>
      <w:r w:rsidR="00DC45ED">
        <w:rPr>
          <w:i/>
        </w:rPr>
        <w:t>Miller</w:t>
      </w:r>
      <w:r w:rsidR="00DC45ED">
        <w:t xml:space="preserve"> in states that have not responded legislatively?</w:t>
      </w:r>
    </w:p>
    <w:p w14:paraId="07752E6F" w14:textId="7484F7EB" w:rsidR="00DC45ED" w:rsidRPr="003F7E86" w:rsidRDefault="00DC45ED" w:rsidP="008B60BC">
      <w:pPr>
        <w:tabs>
          <w:tab w:val="left" w:pos="360"/>
          <w:tab w:val="left" w:pos="990"/>
        </w:tabs>
        <w:spacing w:after="0"/>
        <w:ind w:left="360" w:hanging="360"/>
      </w:pPr>
    </w:p>
    <w:p w14:paraId="3C242BB9" w14:textId="27B1F0F1" w:rsidR="00077FD5" w:rsidRDefault="00DC45ED" w:rsidP="008B60BC">
      <w:pPr>
        <w:tabs>
          <w:tab w:val="left" w:pos="360"/>
          <w:tab w:val="left" w:pos="990"/>
        </w:tabs>
        <w:spacing w:after="0"/>
        <w:ind w:left="360" w:hanging="360"/>
      </w:pPr>
      <w:r>
        <w:t>VI.</w:t>
      </w:r>
      <w:r>
        <w:tab/>
      </w:r>
      <w:r w:rsidR="00077FD5" w:rsidRPr="003F7E86">
        <w:t>What’s next?</w:t>
      </w:r>
    </w:p>
    <w:sectPr w:rsidR="00077FD5" w:rsidSect="005E17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3F8"/>
    <w:rsid w:val="00077FD5"/>
    <w:rsid w:val="000F083A"/>
    <w:rsid w:val="0020606A"/>
    <w:rsid w:val="00246811"/>
    <w:rsid w:val="002D3E26"/>
    <w:rsid w:val="003F7E86"/>
    <w:rsid w:val="005047A3"/>
    <w:rsid w:val="005363F8"/>
    <w:rsid w:val="005E1749"/>
    <w:rsid w:val="00643B6E"/>
    <w:rsid w:val="00665844"/>
    <w:rsid w:val="006D17EC"/>
    <w:rsid w:val="00733AE7"/>
    <w:rsid w:val="00800293"/>
    <w:rsid w:val="00834E6E"/>
    <w:rsid w:val="008B60BC"/>
    <w:rsid w:val="009424D8"/>
    <w:rsid w:val="00B737D3"/>
    <w:rsid w:val="00BF643A"/>
    <w:rsid w:val="00CB3C1A"/>
    <w:rsid w:val="00DC45ED"/>
    <w:rsid w:val="00F84058"/>
    <w:rsid w:val="00FF766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2AF16A"/>
  <w15:docId w15:val="{EC594896-CAC3-46B9-8FEB-5639B41A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174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78262">
      <w:bodyDiv w:val="1"/>
      <w:marLeft w:val="0"/>
      <w:marRight w:val="0"/>
      <w:marTop w:val="0"/>
      <w:marBottom w:val="0"/>
      <w:divBdr>
        <w:top w:val="none" w:sz="0" w:space="0" w:color="auto"/>
        <w:left w:val="none" w:sz="0" w:space="0" w:color="auto"/>
        <w:bottom w:val="none" w:sz="0" w:space="0" w:color="auto"/>
        <w:right w:val="none" w:sz="0" w:space="0" w:color="auto"/>
      </w:divBdr>
    </w:div>
    <w:div w:id="1036544052">
      <w:bodyDiv w:val="1"/>
      <w:marLeft w:val="0"/>
      <w:marRight w:val="0"/>
      <w:marTop w:val="0"/>
      <w:marBottom w:val="0"/>
      <w:divBdr>
        <w:top w:val="none" w:sz="0" w:space="0" w:color="auto"/>
        <w:left w:val="none" w:sz="0" w:space="0" w:color="auto"/>
        <w:bottom w:val="none" w:sz="0" w:space="0" w:color="auto"/>
        <w:right w:val="none" w:sz="0" w:space="0" w:color="auto"/>
      </w:divBdr>
    </w:div>
    <w:div w:id="104656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1726</Characters>
  <Application>Microsoft Macintosh Word</Application>
  <DocSecurity>0</DocSecurity>
  <Lines>33</Lines>
  <Paragraphs>3</Paragraphs>
  <ScaleCrop>false</ScaleCrop>
  <HeadingPairs>
    <vt:vector size="2" baseType="variant">
      <vt:variant>
        <vt:lpstr>Title</vt:lpstr>
      </vt:variant>
      <vt:variant>
        <vt:i4>1</vt:i4>
      </vt:variant>
    </vt:vector>
  </HeadingPairs>
  <TitlesOfParts>
    <vt:vector size="1" baseType="lpstr">
      <vt:lpstr>AEJI Conference</vt:lpstr>
    </vt:vector>
  </TitlesOfParts>
  <Company>Los Angeles Superior Court</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AEJI Conference</dc:title>
  <dc:subject/>
  <dc:creator>Judge Brian M. Hoffstadt</dc:creator>
  <cp:keywords/>
  <dc:description/>
  <cp:lastModifiedBy>Melinda Vaughn</cp:lastModifiedBy>
  <cp:revision>2</cp:revision>
  <cp:lastPrinted>2014-05-08T13:58:00Z</cp:lastPrinted>
  <dcterms:created xsi:type="dcterms:W3CDTF">2017-10-16T21:35:00Z</dcterms:created>
  <dcterms:modified xsi:type="dcterms:W3CDTF">2017-10-16T21:35:00Z</dcterms:modified>
</cp:coreProperties>
</file>