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98CBB" w14:textId="2ACEE2A6" w:rsidR="00077FD5" w:rsidRDefault="00D23AB7" w:rsidP="00FF7661">
      <w:pPr>
        <w:spacing w:after="0"/>
        <w:jc w:val="center"/>
        <w:rPr>
          <w:b/>
          <w:i/>
        </w:rPr>
      </w:pPr>
      <w:r>
        <w:rPr>
          <w:b/>
          <w:i/>
        </w:rPr>
        <w:t>AJE</w:t>
      </w:r>
      <w:r w:rsidR="00077FD5">
        <w:rPr>
          <w:b/>
          <w:i/>
        </w:rPr>
        <w:t>I Conference</w:t>
      </w:r>
    </w:p>
    <w:p w14:paraId="704E58CA" w14:textId="77777777" w:rsidR="00913D18" w:rsidRDefault="00913D18" w:rsidP="005363F8">
      <w:pPr>
        <w:spacing w:after="0"/>
        <w:jc w:val="center"/>
        <w:rPr>
          <w:b/>
          <w:bCs/>
          <w:i/>
        </w:rPr>
      </w:pPr>
      <w:r>
        <w:rPr>
          <w:b/>
          <w:bCs/>
          <w:i/>
        </w:rPr>
        <w:t>“</w:t>
      </w:r>
      <w:r w:rsidRPr="00913D18">
        <w:rPr>
          <w:b/>
          <w:bCs/>
          <w:i/>
        </w:rPr>
        <w:t>So Many Appeals, So Little Time:  Ways</w:t>
      </w:r>
      <w:r>
        <w:rPr>
          <w:b/>
          <w:bCs/>
          <w:i/>
        </w:rPr>
        <w:t xml:space="preserve"> i</w:t>
      </w:r>
      <w:r w:rsidRPr="00913D18">
        <w:rPr>
          <w:b/>
          <w:bCs/>
          <w:i/>
        </w:rPr>
        <w:t>n Which</w:t>
      </w:r>
    </w:p>
    <w:p w14:paraId="5C28D3E6" w14:textId="5C333FE6" w:rsidR="00077FD5" w:rsidRPr="005363F8" w:rsidRDefault="00913D18" w:rsidP="005363F8">
      <w:pPr>
        <w:spacing w:after="0"/>
        <w:jc w:val="center"/>
        <w:rPr>
          <w:b/>
          <w:i/>
        </w:rPr>
      </w:pPr>
      <w:r w:rsidRPr="00913D18">
        <w:rPr>
          <w:b/>
          <w:bCs/>
          <w:i/>
        </w:rPr>
        <w:t xml:space="preserve">Intermediate Appellate Courts Strive </w:t>
      </w:r>
      <w:r>
        <w:rPr>
          <w:b/>
          <w:bCs/>
          <w:i/>
        </w:rPr>
        <w:t>t</w:t>
      </w:r>
      <w:r w:rsidRPr="00913D18">
        <w:rPr>
          <w:b/>
          <w:bCs/>
          <w:i/>
        </w:rPr>
        <w:t>o Handle Growing Case</w:t>
      </w:r>
      <w:r w:rsidR="001F6935">
        <w:rPr>
          <w:b/>
          <w:bCs/>
          <w:i/>
        </w:rPr>
        <w:t>l</w:t>
      </w:r>
      <w:r w:rsidRPr="00913D18">
        <w:rPr>
          <w:b/>
          <w:bCs/>
          <w:i/>
        </w:rPr>
        <w:t>oads</w:t>
      </w:r>
      <w:r w:rsidR="00077FD5">
        <w:rPr>
          <w:b/>
          <w:i/>
        </w:rPr>
        <w:t xml:space="preserve">” </w:t>
      </w:r>
      <w:r w:rsidR="00077FD5" w:rsidRPr="00F84058">
        <w:rPr>
          <w:b/>
          <w:i/>
        </w:rPr>
        <w:t>Panel</w:t>
      </w:r>
      <w:r w:rsidR="00077FD5">
        <w:rPr>
          <w:b/>
          <w:i/>
        </w:rPr>
        <w:t xml:space="preserve"> Discussion</w:t>
      </w:r>
    </w:p>
    <w:p w14:paraId="25560309" w14:textId="2E4CF63A" w:rsidR="00077FD5" w:rsidRPr="00FF7661" w:rsidRDefault="003119A0" w:rsidP="00FF7661">
      <w:pPr>
        <w:spacing w:after="0"/>
        <w:jc w:val="center"/>
        <w:rPr>
          <w:b/>
          <w:i/>
        </w:rPr>
      </w:pPr>
      <w:r>
        <w:rPr>
          <w:b/>
          <w:i/>
        </w:rPr>
        <w:t>November</w:t>
      </w:r>
      <w:r w:rsidR="00D23AB7">
        <w:rPr>
          <w:b/>
          <w:i/>
        </w:rPr>
        <w:t xml:space="preserve"> 3</w:t>
      </w:r>
      <w:r w:rsidR="00077FD5">
        <w:rPr>
          <w:b/>
          <w:i/>
        </w:rPr>
        <w:t>, 201</w:t>
      </w:r>
      <w:r w:rsidR="00EC2524">
        <w:rPr>
          <w:b/>
          <w:i/>
        </w:rPr>
        <w:t>7</w:t>
      </w:r>
      <w:r w:rsidR="00077FD5">
        <w:rPr>
          <w:b/>
          <w:i/>
        </w:rPr>
        <w:t xml:space="preserve">  </w:t>
      </w:r>
      <w:r w:rsidR="00D0732B">
        <w:rPr>
          <w:b/>
          <w:i/>
        </w:rPr>
        <w:t xml:space="preserve"> </w:t>
      </w:r>
    </w:p>
    <w:p w14:paraId="6FBF39FF" w14:textId="77777777" w:rsidR="00077FD5" w:rsidRDefault="00077FD5" w:rsidP="005363F8">
      <w:pPr>
        <w:spacing w:after="0"/>
        <w:rPr>
          <w:i/>
        </w:rPr>
      </w:pPr>
    </w:p>
    <w:p w14:paraId="1620E1A7" w14:textId="66DA4234" w:rsidR="00077FD5" w:rsidRDefault="00077FD5" w:rsidP="005363F8">
      <w:pPr>
        <w:spacing w:after="0"/>
        <w:rPr>
          <w:i/>
          <w:u w:val="single"/>
        </w:rPr>
      </w:pPr>
      <w:r>
        <w:rPr>
          <w:i/>
          <w:u w:val="single"/>
        </w:rPr>
        <w:t>Participants</w:t>
      </w:r>
    </w:p>
    <w:p w14:paraId="5E2AC132" w14:textId="77777777" w:rsidR="003C3384" w:rsidRDefault="003C3384" w:rsidP="005363F8">
      <w:pPr>
        <w:spacing w:after="0"/>
      </w:pPr>
    </w:p>
    <w:p w14:paraId="067D7A72" w14:textId="531786E7" w:rsidR="00077FD5" w:rsidRDefault="00D23AB7" w:rsidP="005363F8">
      <w:pPr>
        <w:spacing w:after="0"/>
        <w:rPr>
          <w:color w:val="000000"/>
        </w:rPr>
      </w:pPr>
      <w:r w:rsidRPr="00D23AB7">
        <w:rPr>
          <w:color w:val="000000"/>
        </w:rPr>
        <w:t>Panelist</w:t>
      </w:r>
      <w:r>
        <w:rPr>
          <w:b/>
          <w:color w:val="000000"/>
        </w:rPr>
        <w:t xml:space="preserve">, </w:t>
      </w:r>
      <w:r w:rsidR="00536BBC" w:rsidRPr="00536BBC">
        <w:rPr>
          <w:b/>
          <w:color w:val="000000"/>
        </w:rPr>
        <w:t>Hon.</w:t>
      </w:r>
      <w:r w:rsidR="003119A0" w:rsidRPr="00536BBC">
        <w:rPr>
          <w:b/>
          <w:color w:val="000000"/>
        </w:rPr>
        <w:t xml:space="preserve"> </w:t>
      </w:r>
      <w:r w:rsidR="003C3384" w:rsidRPr="00536BBC">
        <w:rPr>
          <w:b/>
          <w:color w:val="000000"/>
        </w:rPr>
        <w:t>N. Randy</w:t>
      </w:r>
      <w:r w:rsidR="00D0732B" w:rsidRPr="00536BBC">
        <w:rPr>
          <w:b/>
          <w:color w:val="000000"/>
        </w:rPr>
        <w:t xml:space="preserve"> Smith</w:t>
      </w:r>
      <w:r w:rsidR="00D0732B" w:rsidRPr="003C3384">
        <w:rPr>
          <w:color w:val="000000"/>
        </w:rPr>
        <w:t xml:space="preserve">, </w:t>
      </w:r>
      <w:r w:rsidR="003C3384">
        <w:rPr>
          <w:color w:val="000000"/>
        </w:rPr>
        <w:t xml:space="preserve">Circuit Judge, United States Court of Appeals for the </w:t>
      </w:r>
      <w:r w:rsidR="00D0732B" w:rsidRPr="003C3384">
        <w:rPr>
          <w:color w:val="000000"/>
        </w:rPr>
        <w:t>Ninth Circuit</w:t>
      </w:r>
    </w:p>
    <w:p w14:paraId="550003D9" w14:textId="75F0DAF6" w:rsidR="00D0732B" w:rsidRDefault="00D23AB7" w:rsidP="005363F8">
      <w:pPr>
        <w:spacing w:after="0"/>
        <w:rPr>
          <w:color w:val="000000"/>
        </w:rPr>
      </w:pPr>
      <w:r w:rsidRPr="00D23AB7">
        <w:rPr>
          <w:color w:val="000000"/>
        </w:rPr>
        <w:t>Panelist</w:t>
      </w:r>
      <w:r>
        <w:rPr>
          <w:b/>
          <w:color w:val="000000"/>
        </w:rPr>
        <w:t xml:space="preserve">, </w:t>
      </w:r>
      <w:r w:rsidR="00536BBC" w:rsidRPr="00536BBC">
        <w:rPr>
          <w:b/>
          <w:color w:val="000000"/>
        </w:rPr>
        <w:t>Hon.</w:t>
      </w:r>
      <w:r w:rsidR="00D0732B" w:rsidRPr="00536BBC">
        <w:rPr>
          <w:b/>
          <w:color w:val="000000"/>
        </w:rPr>
        <w:t xml:space="preserve"> Cheryl E. Chambers</w:t>
      </w:r>
      <w:r w:rsidR="003C3384">
        <w:rPr>
          <w:color w:val="000000"/>
        </w:rPr>
        <w:t>, Associate Justice, New York State Supreme Court, Appellate Division, Second Judicial Department</w:t>
      </w:r>
    </w:p>
    <w:p w14:paraId="0203A65A" w14:textId="77879FE2" w:rsidR="00D0732B" w:rsidRDefault="00D23AB7" w:rsidP="005363F8">
      <w:pPr>
        <w:spacing w:after="0"/>
        <w:rPr>
          <w:color w:val="000000"/>
        </w:rPr>
      </w:pPr>
      <w:r w:rsidRPr="00D23AB7">
        <w:rPr>
          <w:color w:val="000000"/>
        </w:rPr>
        <w:t>Panelist</w:t>
      </w:r>
      <w:r>
        <w:rPr>
          <w:b/>
          <w:color w:val="000000"/>
        </w:rPr>
        <w:t xml:space="preserve">, </w:t>
      </w:r>
      <w:r w:rsidR="00D0732B" w:rsidRPr="00536BBC">
        <w:rPr>
          <w:b/>
          <w:color w:val="000000"/>
        </w:rPr>
        <w:t xml:space="preserve">John P. </w:t>
      </w:r>
      <w:proofErr w:type="spellStart"/>
      <w:r w:rsidR="00D0732B" w:rsidRPr="00536BBC">
        <w:rPr>
          <w:b/>
          <w:color w:val="000000"/>
        </w:rPr>
        <w:t>Doerner</w:t>
      </w:r>
      <w:proofErr w:type="spellEnd"/>
      <w:r w:rsidR="00D0732B" w:rsidRPr="003C3384">
        <w:rPr>
          <w:color w:val="000000"/>
        </w:rPr>
        <w:t xml:space="preserve">, </w:t>
      </w:r>
      <w:r w:rsidR="00536BBC">
        <w:rPr>
          <w:color w:val="000000"/>
        </w:rPr>
        <w:t xml:space="preserve">Principal Court Management Consultant, </w:t>
      </w:r>
      <w:r w:rsidR="00D0732B" w:rsidRPr="003C3384">
        <w:rPr>
          <w:color w:val="000000"/>
        </w:rPr>
        <w:t>National Center for State Courts</w:t>
      </w:r>
    </w:p>
    <w:p w14:paraId="290D8E0D" w14:textId="1D9BC650" w:rsidR="00D23AB7" w:rsidRPr="003C3384" w:rsidRDefault="00D23AB7" w:rsidP="005363F8">
      <w:pPr>
        <w:spacing w:after="0"/>
      </w:pPr>
      <w:r>
        <w:rPr>
          <w:color w:val="000000"/>
        </w:rPr>
        <w:t xml:space="preserve">Moderator, </w:t>
      </w:r>
      <w:proofErr w:type="spellStart"/>
      <w:r w:rsidRPr="00D23AB7">
        <w:rPr>
          <w:b/>
          <w:color w:val="000000"/>
        </w:rPr>
        <w:t>Ric</w:t>
      </w:r>
      <w:proofErr w:type="spellEnd"/>
      <w:r w:rsidRPr="00D23AB7">
        <w:rPr>
          <w:b/>
          <w:color w:val="000000"/>
        </w:rPr>
        <w:t xml:space="preserve"> Schickele</w:t>
      </w:r>
      <w:r>
        <w:rPr>
          <w:color w:val="000000"/>
        </w:rPr>
        <w:t>, Career Law Clerk, United States Court of Appeals for the Ninth Circuit</w:t>
      </w:r>
    </w:p>
    <w:p w14:paraId="7A777B23" w14:textId="77777777" w:rsidR="00077FD5" w:rsidRPr="00FF7661" w:rsidRDefault="00077FD5" w:rsidP="005363F8">
      <w:pPr>
        <w:spacing w:after="0"/>
      </w:pPr>
    </w:p>
    <w:p w14:paraId="54BBEE37" w14:textId="77777777" w:rsidR="00077FD5" w:rsidRDefault="00077FD5" w:rsidP="005363F8">
      <w:pPr>
        <w:spacing w:after="0"/>
      </w:pPr>
      <w:r>
        <w:rPr>
          <w:i/>
          <w:u w:val="single"/>
        </w:rPr>
        <w:t>Learning Objectives</w:t>
      </w:r>
    </w:p>
    <w:p w14:paraId="48AEA19A" w14:textId="77777777" w:rsidR="00077FD5" w:rsidRDefault="00077FD5" w:rsidP="005363F8">
      <w:pPr>
        <w:spacing w:after="0"/>
      </w:pPr>
    </w:p>
    <w:p w14:paraId="6E7A60D1" w14:textId="403F7214" w:rsidR="00077FD5" w:rsidRDefault="00077FD5" w:rsidP="005363F8">
      <w:pPr>
        <w:spacing w:after="0"/>
      </w:pPr>
      <w:r>
        <w:t xml:space="preserve">The panelists will </w:t>
      </w:r>
      <w:r w:rsidR="00913D18">
        <w:t xml:space="preserve">discuss the various ways in which intermediate appellate courts can </w:t>
      </w:r>
      <w:r w:rsidR="001F6935">
        <w:t>tackle the problem</w:t>
      </w:r>
      <w:r w:rsidR="00913D18">
        <w:t xml:space="preserve"> </w:t>
      </w:r>
      <w:r w:rsidR="001F6935">
        <w:t>of</w:t>
      </w:r>
      <w:r w:rsidR="00913D18">
        <w:t xml:space="preserve"> increasingly heavy caseloads</w:t>
      </w:r>
      <w:r w:rsidR="001F6935">
        <w:t>, including</w:t>
      </w:r>
      <w:r w:rsidR="00D332C4">
        <w:t>:</w:t>
      </w:r>
      <w:r>
        <w:t xml:space="preserve"> (1) </w:t>
      </w:r>
      <w:r w:rsidR="001F6935">
        <w:t>streamlining the case management system</w:t>
      </w:r>
      <w:r>
        <w:t xml:space="preserve">; </w:t>
      </w:r>
      <w:r w:rsidR="00BE51FA">
        <w:t xml:space="preserve">(2) use of staff attorneys; </w:t>
      </w:r>
      <w:r>
        <w:t xml:space="preserve">(2) </w:t>
      </w:r>
      <w:r w:rsidR="001F6935">
        <w:t>use of model time standards</w:t>
      </w:r>
      <w:r>
        <w:t xml:space="preserve">; and (3) </w:t>
      </w:r>
      <w:r w:rsidR="001F6935">
        <w:t>appellate mediation</w:t>
      </w:r>
      <w:r>
        <w:t xml:space="preserve">.  </w:t>
      </w:r>
      <w:r w:rsidR="001F6935">
        <w:t xml:space="preserve">These topics </w:t>
      </w:r>
      <w:proofErr w:type="gramStart"/>
      <w:r w:rsidR="001F6935">
        <w:t>will be examined</w:t>
      </w:r>
      <w:proofErr w:type="gramEnd"/>
      <w:r w:rsidR="001F6935">
        <w:t xml:space="preserve"> at both the state and federal levels, taking into account the perspectives of litigants, counsel</w:t>
      </w:r>
      <w:r w:rsidR="00D332C4">
        <w:t>,</w:t>
      </w:r>
      <w:r w:rsidR="001F6935">
        <w:t xml:space="preserve"> judges</w:t>
      </w:r>
      <w:r w:rsidR="00D332C4">
        <w:t xml:space="preserve"> and court administrators</w:t>
      </w:r>
      <w:r>
        <w:t>.</w:t>
      </w:r>
      <w:r w:rsidR="00931D8D">
        <w:t xml:space="preserve"> The format of the presentation will be </w:t>
      </w:r>
      <w:r w:rsidR="004F045C">
        <w:t xml:space="preserve">dynamic and </w:t>
      </w:r>
      <w:r w:rsidR="00931D8D">
        <w:t>interactive, encouraging discussion among the panel members as well as partic</w:t>
      </w:r>
      <w:r w:rsidR="004F045C">
        <w:t>ipation from members of the audience</w:t>
      </w:r>
      <w:r w:rsidR="00931D8D">
        <w:t>.</w:t>
      </w:r>
    </w:p>
    <w:p w14:paraId="67E123E4" w14:textId="77777777" w:rsidR="00077FD5" w:rsidRDefault="00077FD5" w:rsidP="005363F8">
      <w:pPr>
        <w:spacing w:after="0"/>
      </w:pPr>
    </w:p>
    <w:p w14:paraId="432AC64F" w14:textId="77777777" w:rsidR="00077FD5" w:rsidRPr="00FF7661" w:rsidRDefault="00077FD5" w:rsidP="005363F8">
      <w:pPr>
        <w:spacing w:after="0"/>
      </w:pPr>
      <w:r>
        <w:rPr>
          <w:i/>
          <w:u w:val="single"/>
        </w:rPr>
        <w:t>Topical Outline</w:t>
      </w:r>
    </w:p>
    <w:p w14:paraId="5B068E6D" w14:textId="77777777" w:rsidR="00077FD5" w:rsidRDefault="00077FD5" w:rsidP="005363F8">
      <w:pPr>
        <w:spacing w:after="0"/>
      </w:pPr>
    </w:p>
    <w:p w14:paraId="21AB4368" w14:textId="36F05EA1" w:rsidR="001F6935" w:rsidRDefault="00077FD5" w:rsidP="000A5351">
      <w:pPr>
        <w:spacing w:after="0"/>
        <w:ind w:left="360" w:hanging="360"/>
      </w:pPr>
      <w:r w:rsidRPr="003F7E86">
        <w:t>I.</w:t>
      </w:r>
      <w:r w:rsidRPr="003F7E86">
        <w:tab/>
      </w:r>
      <w:r w:rsidR="001F6935">
        <w:t xml:space="preserve">Appellate case management in the state and federal courts: where are we </w:t>
      </w:r>
      <w:proofErr w:type="gramStart"/>
      <w:r w:rsidR="001F6935">
        <w:t>now,</w:t>
      </w:r>
      <w:proofErr w:type="gramEnd"/>
      <w:r w:rsidR="001F6935">
        <w:t xml:space="preserve"> and </w:t>
      </w:r>
      <w:r w:rsidR="00484BB1">
        <w:t>where are we going</w:t>
      </w:r>
      <w:r w:rsidR="001F6935">
        <w:t>?</w:t>
      </w:r>
    </w:p>
    <w:p w14:paraId="2592E19D" w14:textId="71F99931" w:rsidR="00077FD5" w:rsidRDefault="001F6935" w:rsidP="000A5351">
      <w:pPr>
        <w:pStyle w:val="ListParagraph"/>
        <w:numPr>
          <w:ilvl w:val="0"/>
          <w:numId w:val="1"/>
        </w:numPr>
        <w:spacing w:after="0"/>
        <w:ind w:left="720"/>
      </w:pPr>
      <w:r>
        <w:t xml:space="preserve">Technological </w:t>
      </w:r>
      <w:r w:rsidR="00AD624A">
        <w:t>advances</w:t>
      </w:r>
      <w:r>
        <w:t xml:space="preserve"> that facilitate the preparation of records on appeal</w:t>
      </w:r>
    </w:p>
    <w:p w14:paraId="7F0A7BCB" w14:textId="30A75933" w:rsidR="001F6935" w:rsidRDefault="00D332C4" w:rsidP="000A5351">
      <w:pPr>
        <w:pStyle w:val="ListParagraph"/>
        <w:numPr>
          <w:ilvl w:val="0"/>
          <w:numId w:val="1"/>
        </w:numPr>
        <w:spacing w:after="0"/>
        <w:ind w:left="720"/>
      </w:pPr>
      <w:r>
        <w:t>Use of s</w:t>
      </w:r>
      <w:r w:rsidR="00AD624A">
        <w:t>treamlined</w:t>
      </w:r>
      <w:r>
        <w:t xml:space="preserve"> (</w:t>
      </w:r>
      <w:r>
        <w:rPr>
          <w:i/>
        </w:rPr>
        <w:t>e.g.</w:t>
      </w:r>
      <w:r>
        <w:t>, summary disposition)</w:t>
      </w:r>
      <w:r w:rsidR="00AD624A">
        <w:t xml:space="preserve"> procedures for dealing with classes of </w:t>
      </w:r>
      <w:r>
        <w:t>simple cases presenting identical legal issues and similar fact patterns</w:t>
      </w:r>
    </w:p>
    <w:p w14:paraId="5F77DC3B" w14:textId="603BEA7B" w:rsidR="00AD624A" w:rsidRPr="003F7E86" w:rsidRDefault="00AD624A" w:rsidP="000A5351">
      <w:pPr>
        <w:pStyle w:val="ListParagraph"/>
        <w:numPr>
          <w:ilvl w:val="0"/>
          <w:numId w:val="1"/>
        </w:numPr>
        <w:spacing w:after="0"/>
        <w:ind w:left="720"/>
      </w:pPr>
      <w:r>
        <w:t>Should oral argument be further restricted?</w:t>
      </w:r>
    </w:p>
    <w:p w14:paraId="0EE5FABC" w14:textId="77777777" w:rsidR="00077FD5" w:rsidRPr="003F7E86" w:rsidRDefault="00077FD5" w:rsidP="003F7E86">
      <w:pPr>
        <w:spacing w:after="0"/>
      </w:pPr>
    </w:p>
    <w:p w14:paraId="3D894F0A" w14:textId="77777777" w:rsidR="00BE51FA" w:rsidRPr="00C136A6" w:rsidRDefault="00077FD5" w:rsidP="000A535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F7E86">
        <w:t>II.</w:t>
      </w:r>
      <w:r w:rsidRPr="003F7E86">
        <w:tab/>
      </w:r>
      <w:r w:rsidR="00BE51FA" w:rsidRPr="00C136A6">
        <w:rPr>
          <w:rFonts w:asciiTheme="minorHAnsi" w:hAnsiTheme="minorHAnsi" w:cstheme="minorHAnsi"/>
          <w:lang w:val="en-CA"/>
        </w:rPr>
        <w:fldChar w:fldCharType="begin"/>
      </w:r>
      <w:r w:rsidR="00BE51FA" w:rsidRPr="00C136A6">
        <w:rPr>
          <w:rFonts w:asciiTheme="minorHAnsi" w:hAnsiTheme="minorHAnsi" w:cstheme="minorHAnsi"/>
          <w:lang w:val="en-CA"/>
        </w:rPr>
        <w:instrText xml:space="preserve"> SEQ CHAPTER \h \r 1</w:instrText>
      </w:r>
      <w:r w:rsidR="00BE51FA" w:rsidRPr="00C136A6">
        <w:rPr>
          <w:rFonts w:asciiTheme="minorHAnsi" w:hAnsiTheme="minorHAnsi" w:cstheme="minorHAnsi"/>
          <w:lang w:val="en-CA"/>
        </w:rPr>
        <w:fldChar w:fldCharType="end"/>
      </w:r>
      <w:r w:rsidR="00BE51FA" w:rsidRPr="00C136A6">
        <w:rPr>
          <w:rFonts w:asciiTheme="minorHAnsi" w:hAnsiTheme="minorHAnsi" w:cstheme="minorHAnsi"/>
        </w:rPr>
        <w:t>Use of Staff Attorneys</w:t>
      </w:r>
    </w:p>
    <w:p w14:paraId="301DC19B" w14:textId="467E3B90" w:rsidR="00BE51FA" w:rsidRPr="00BE51FA" w:rsidRDefault="00BE51FA" w:rsidP="000A5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pacing w:val="-3"/>
        </w:rPr>
      </w:pPr>
      <w:r w:rsidRPr="00BE51FA">
        <w:rPr>
          <w:rFonts w:asciiTheme="minorHAnsi" w:hAnsiTheme="minorHAnsi" w:cstheme="minorHAnsi"/>
        </w:rPr>
        <w:t>Inventory.  After</w:t>
      </w:r>
      <w:r w:rsidRPr="00BE51FA">
        <w:rPr>
          <w:rFonts w:asciiTheme="minorHAnsi" w:hAnsiTheme="minorHAnsi" w:cstheme="minorHAnsi"/>
          <w:spacing w:val="-1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briefing</w:t>
      </w:r>
      <w:r w:rsidRPr="00BE51FA">
        <w:rPr>
          <w:rFonts w:asciiTheme="minorHAnsi" w:hAnsiTheme="minorHAnsi" w:cstheme="minorHAnsi"/>
          <w:spacing w:val="-1"/>
        </w:rPr>
        <w:t xml:space="preserve"> </w:t>
      </w:r>
      <w:proofErr w:type="gramStart"/>
      <w:r w:rsidRPr="00BE51FA">
        <w:rPr>
          <w:rFonts w:asciiTheme="minorHAnsi" w:hAnsiTheme="minorHAnsi" w:cstheme="minorHAnsi"/>
          <w:spacing w:val="-3"/>
        </w:rPr>
        <w:t>has</w:t>
      </w:r>
      <w:r w:rsidRPr="00BE51FA">
        <w:rPr>
          <w:rFonts w:asciiTheme="minorHAnsi" w:hAnsiTheme="minorHAnsi" w:cstheme="minorHAnsi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been</w:t>
      </w:r>
      <w:r w:rsidRPr="00BE51FA">
        <w:rPr>
          <w:rFonts w:asciiTheme="minorHAnsi" w:hAnsiTheme="minorHAnsi" w:cstheme="minorHAnsi"/>
          <w:spacing w:val="-3"/>
        </w:rPr>
        <w:t xml:space="preserve"> completed</w:t>
      </w:r>
      <w:proofErr w:type="gramEnd"/>
      <w:r w:rsidRPr="00BE51FA">
        <w:rPr>
          <w:rFonts w:asciiTheme="minorHAnsi" w:hAnsiTheme="minorHAnsi" w:cstheme="minorHAnsi"/>
          <w:spacing w:val="-3"/>
        </w:rPr>
        <w:t>,</w:t>
      </w:r>
      <w:r w:rsidRPr="00BE51FA">
        <w:rPr>
          <w:rFonts w:asciiTheme="minorHAnsi" w:hAnsiTheme="minorHAnsi" w:cstheme="minorHAnsi"/>
          <w:spacing w:val="24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 xml:space="preserve">staff </w:t>
      </w:r>
      <w:r w:rsidRPr="00BE51FA">
        <w:rPr>
          <w:rFonts w:asciiTheme="minorHAnsi" w:hAnsiTheme="minorHAnsi" w:cstheme="minorHAnsi"/>
          <w:spacing w:val="-3"/>
        </w:rPr>
        <w:t>attorneys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 xml:space="preserve">can review </w:t>
      </w:r>
      <w:r w:rsidRPr="00BE51FA">
        <w:rPr>
          <w:rFonts w:asciiTheme="minorHAnsi" w:hAnsiTheme="minorHAnsi" w:cstheme="minorHAnsi"/>
          <w:spacing w:val="-2"/>
        </w:rPr>
        <w:t>the</w:t>
      </w:r>
      <w:r w:rsidRPr="00BE51FA">
        <w:rPr>
          <w:rFonts w:asciiTheme="minorHAnsi" w:hAnsiTheme="minorHAnsi" w:cstheme="minorHAnsi"/>
          <w:spacing w:val="15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briefs and record in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each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case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1"/>
        </w:rPr>
        <w:t>to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identify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the</w:t>
      </w:r>
      <w:r w:rsidRPr="00BE51FA">
        <w:rPr>
          <w:rFonts w:asciiTheme="minorHAnsi" w:hAnsiTheme="minorHAnsi" w:cstheme="minorHAnsi"/>
          <w:spacing w:val="22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 xml:space="preserve">primary issues raised </w:t>
      </w:r>
      <w:r w:rsidRPr="00BE51FA">
        <w:rPr>
          <w:rFonts w:asciiTheme="minorHAnsi" w:hAnsiTheme="minorHAnsi" w:cstheme="minorHAnsi"/>
          <w:spacing w:val="-2"/>
        </w:rPr>
        <w:t>in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the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case and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1"/>
        </w:rPr>
        <w:t>to</w:t>
      </w:r>
      <w:r w:rsidRPr="00BE51FA">
        <w:rPr>
          <w:rFonts w:asciiTheme="minorHAnsi" w:hAnsiTheme="minorHAnsi" w:cstheme="minorHAnsi"/>
          <w:spacing w:val="-3"/>
        </w:rPr>
        <w:t xml:space="preserve"> assign</w:t>
      </w:r>
      <w:r w:rsidRPr="00BE51FA">
        <w:rPr>
          <w:rFonts w:asciiTheme="minorHAnsi" w:hAnsiTheme="minorHAnsi" w:cstheme="minorHAnsi"/>
          <w:spacing w:val="24"/>
        </w:rPr>
        <w:t xml:space="preserve"> </w:t>
      </w:r>
      <w:r w:rsidRPr="00BE51FA">
        <w:rPr>
          <w:rFonts w:asciiTheme="minorHAnsi" w:hAnsiTheme="minorHAnsi" w:cstheme="minorHAnsi"/>
        </w:rPr>
        <w:t>a</w:t>
      </w:r>
      <w:r w:rsidRPr="00BE51FA">
        <w:rPr>
          <w:rFonts w:asciiTheme="minorHAnsi" w:hAnsiTheme="minorHAnsi" w:cstheme="minorHAnsi"/>
          <w:spacing w:val="-3"/>
        </w:rPr>
        <w:t xml:space="preserve"> numerical weight </w:t>
      </w:r>
      <w:r w:rsidRPr="00BE51FA">
        <w:rPr>
          <w:rFonts w:asciiTheme="minorHAnsi" w:hAnsiTheme="minorHAnsi" w:cstheme="minorHAnsi"/>
          <w:spacing w:val="-2"/>
        </w:rPr>
        <w:t>to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the</w:t>
      </w:r>
      <w:r w:rsidRPr="00BE51FA">
        <w:rPr>
          <w:rFonts w:asciiTheme="minorHAnsi" w:hAnsiTheme="minorHAnsi" w:cstheme="minorHAnsi"/>
          <w:spacing w:val="-3"/>
        </w:rPr>
        <w:t xml:space="preserve"> case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 xml:space="preserve">reflecting </w:t>
      </w:r>
      <w:r w:rsidRPr="00BE51FA">
        <w:rPr>
          <w:rFonts w:asciiTheme="minorHAnsi" w:hAnsiTheme="minorHAnsi" w:cstheme="minorHAnsi"/>
          <w:spacing w:val="-2"/>
        </w:rPr>
        <w:t xml:space="preserve">the relative amount </w:t>
      </w:r>
      <w:r w:rsidRPr="00BE51FA">
        <w:rPr>
          <w:rFonts w:asciiTheme="minorHAnsi" w:hAnsiTheme="minorHAnsi" w:cstheme="minorHAnsi"/>
          <w:spacing w:val="-1"/>
        </w:rPr>
        <w:t>of</w:t>
      </w:r>
      <w:r w:rsidRPr="00BE51FA">
        <w:rPr>
          <w:rFonts w:asciiTheme="minorHAnsi" w:hAnsiTheme="minorHAnsi" w:cstheme="minorHAnsi"/>
          <w:spacing w:val="-7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judge time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that will likely</w:t>
      </w:r>
      <w:r w:rsidRPr="00BE51FA">
        <w:rPr>
          <w:rFonts w:asciiTheme="minorHAnsi" w:hAnsiTheme="minorHAnsi" w:cstheme="minorHAnsi"/>
          <w:spacing w:val="22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 xml:space="preserve">have </w:t>
      </w:r>
      <w:r w:rsidRPr="00BE51FA">
        <w:rPr>
          <w:rFonts w:asciiTheme="minorHAnsi" w:hAnsiTheme="minorHAnsi" w:cstheme="minorHAnsi"/>
          <w:spacing w:val="-2"/>
        </w:rPr>
        <w:t>to</w:t>
      </w:r>
      <w:r w:rsidRPr="00BE51FA">
        <w:rPr>
          <w:rFonts w:asciiTheme="minorHAnsi" w:hAnsiTheme="minorHAnsi" w:cstheme="minorHAnsi"/>
          <w:spacing w:val="-3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be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spent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on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the</w:t>
      </w:r>
      <w:r w:rsidRPr="00BE51FA">
        <w:rPr>
          <w:rFonts w:asciiTheme="minorHAnsi" w:hAnsiTheme="minorHAnsi" w:cstheme="minorHAnsi"/>
          <w:spacing w:val="-3"/>
        </w:rPr>
        <w:t xml:space="preserve"> matter.</w:t>
      </w:r>
    </w:p>
    <w:p w14:paraId="0F8975C8" w14:textId="175CC9D1" w:rsidR="00BE51FA" w:rsidRPr="00BE51FA" w:rsidRDefault="00BE51FA" w:rsidP="000A5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pacing w:val="-3"/>
        </w:rPr>
      </w:pPr>
      <w:r w:rsidRPr="00BE51FA">
        <w:rPr>
          <w:rFonts w:asciiTheme="minorHAnsi" w:hAnsiTheme="minorHAnsi" w:cstheme="minorHAnsi"/>
          <w:spacing w:val="-3"/>
        </w:rPr>
        <w:t>Research</w:t>
      </w:r>
      <w:r>
        <w:rPr>
          <w:rFonts w:asciiTheme="minorHAnsi" w:hAnsiTheme="minorHAnsi" w:cstheme="minorHAnsi"/>
          <w:spacing w:val="-3"/>
        </w:rPr>
        <w:t>.</w:t>
      </w:r>
      <w:r w:rsidRPr="00BE51FA">
        <w:rPr>
          <w:rFonts w:asciiTheme="minorHAnsi" w:hAnsiTheme="minorHAnsi" w:cstheme="minorHAnsi"/>
          <w:spacing w:val="-3"/>
        </w:rPr>
        <w:t xml:space="preserve">  Staff attorneys</w:t>
      </w:r>
      <w:r w:rsidRPr="00BE51FA">
        <w:rPr>
          <w:rFonts w:asciiTheme="minorHAnsi" w:hAnsiTheme="minorHAnsi" w:cstheme="minorHAnsi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can review</w:t>
      </w:r>
      <w:r w:rsidRPr="00BE51FA">
        <w:rPr>
          <w:rFonts w:asciiTheme="minorHAnsi" w:hAnsiTheme="minorHAnsi" w:cstheme="minorHAnsi"/>
          <w:spacing w:val="24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briefs and records,</w:t>
      </w:r>
      <w:r w:rsidRPr="00BE51FA">
        <w:rPr>
          <w:rFonts w:asciiTheme="minorHAnsi" w:hAnsiTheme="minorHAnsi" w:cstheme="minorHAnsi"/>
          <w:spacing w:val="-4"/>
        </w:rPr>
        <w:t xml:space="preserve"> and </w:t>
      </w:r>
      <w:r w:rsidRPr="00BE51FA">
        <w:rPr>
          <w:rFonts w:asciiTheme="minorHAnsi" w:hAnsiTheme="minorHAnsi" w:cstheme="minorHAnsi"/>
          <w:spacing w:val="-3"/>
        </w:rPr>
        <w:t>research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legal issues, on the most complex cases and/or on the most straight forward cases.</w:t>
      </w:r>
    </w:p>
    <w:p w14:paraId="4AAA1488" w14:textId="34ADEC8B" w:rsidR="00BE51FA" w:rsidRPr="00BE51FA" w:rsidRDefault="00BE51FA" w:rsidP="000A5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pacing w:val="-3"/>
        </w:rPr>
      </w:pPr>
      <w:r w:rsidRPr="00BE51FA">
        <w:rPr>
          <w:rFonts w:asciiTheme="minorHAnsi" w:hAnsiTheme="minorHAnsi" w:cstheme="minorHAnsi"/>
          <w:spacing w:val="-3"/>
        </w:rPr>
        <w:t>Non-argument Calendars</w:t>
      </w:r>
      <w:r>
        <w:rPr>
          <w:rFonts w:asciiTheme="minorHAnsi" w:hAnsiTheme="minorHAnsi" w:cstheme="minorHAnsi"/>
          <w:spacing w:val="-3"/>
        </w:rPr>
        <w:t xml:space="preserve">. </w:t>
      </w:r>
      <w:r w:rsidRPr="00BE51FA">
        <w:rPr>
          <w:rFonts w:asciiTheme="minorHAnsi" w:hAnsiTheme="minorHAnsi" w:cstheme="minorHAnsi"/>
          <w:spacing w:val="-3"/>
        </w:rPr>
        <w:t xml:space="preserve"> Staff attorneys can prepare bench memoranda and proposed unpublished dispositions for cases placed on a non-argument calendar.  These cases can be presented to the judges either on the written materials or orally. </w:t>
      </w:r>
    </w:p>
    <w:p w14:paraId="7FF22432" w14:textId="0C19EEE3" w:rsidR="00BE51FA" w:rsidRPr="00BE51FA" w:rsidRDefault="00BE51FA" w:rsidP="000A53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theme="minorHAnsi"/>
          <w:spacing w:val="-3"/>
        </w:rPr>
      </w:pPr>
      <w:r w:rsidRPr="00BE51FA">
        <w:rPr>
          <w:rFonts w:asciiTheme="minorHAnsi" w:hAnsiTheme="minorHAnsi" w:cstheme="minorHAnsi"/>
          <w:spacing w:val="-3"/>
        </w:rPr>
        <w:t>Staff attorneys (motions attorneys) may process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all</w:t>
      </w:r>
      <w:r w:rsidRPr="00BE51FA">
        <w:rPr>
          <w:rFonts w:asciiTheme="minorHAnsi" w:hAnsiTheme="minorHAnsi" w:cstheme="minorHAnsi"/>
          <w:spacing w:val="15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 xml:space="preserve">motions filed </w:t>
      </w:r>
      <w:r w:rsidRPr="00BE51FA">
        <w:rPr>
          <w:rFonts w:asciiTheme="minorHAnsi" w:hAnsiTheme="minorHAnsi" w:cstheme="minorHAnsi"/>
          <w:spacing w:val="-2"/>
        </w:rPr>
        <w:t>in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</w:rPr>
        <w:t>a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case prior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to</w:t>
      </w:r>
      <w:r w:rsidRPr="00BE51FA">
        <w:rPr>
          <w:rFonts w:asciiTheme="minorHAnsi" w:hAnsiTheme="minorHAnsi" w:cstheme="minorHAnsi"/>
          <w:spacing w:val="-3"/>
        </w:rPr>
        <w:t xml:space="preserve"> assignment </w:t>
      </w:r>
      <w:r>
        <w:rPr>
          <w:rFonts w:asciiTheme="minorHAnsi" w:hAnsiTheme="minorHAnsi" w:cstheme="minorHAnsi"/>
          <w:spacing w:val="-1"/>
        </w:rPr>
        <w:t>to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</w:rPr>
        <w:t>a</w:t>
      </w:r>
      <w:r w:rsidRPr="00BE51FA">
        <w:rPr>
          <w:rFonts w:asciiTheme="minorHAnsi" w:hAnsiTheme="minorHAnsi" w:cstheme="minorHAnsi"/>
          <w:spacing w:val="22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particular panel for disposition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1"/>
        </w:rPr>
        <w:t>on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the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merits,</w:t>
      </w:r>
      <w:r w:rsidRPr="00BE51FA">
        <w:rPr>
          <w:rFonts w:asciiTheme="minorHAnsi" w:hAnsiTheme="minorHAnsi" w:cstheme="minorHAnsi"/>
          <w:spacing w:val="26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except</w:t>
      </w:r>
      <w:r w:rsidRPr="00BE51FA">
        <w:rPr>
          <w:rFonts w:asciiTheme="minorHAnsi" w:hAnsiTheme="minorHAnsi" w:cstheme="minorHAnsi"/>
          <w:spacing w:val="-4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for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 xml:space="preserve">procedural motions disposed </w:t>
      </w:r>
      <w:r w:rsidRPr="00BE51FA">
        <w:rPr>
          <w:rFonts w:asciiTheme="minorHAnsi" w:hAnsiTheme="minorHAnsi" w:cstheme="minorHAnsi"/>
          <w:spacing w:val="-1"/>
        </w:rPr>
        <w:t>of</w:t>
      </w:r>
      <w:r w:rsidRPr="00BE51FA">
        <w:rPr>
          <w:rFonts w:asciiTheme="minorHAnsi" w:hAnsiTheme="minorHAnsi" w:cstheme="minorHAnsi"/>
          <w:spacing w:val="-3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by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2"/>
        </w:rPr>
        <w:t>the</w:t>
      </w:r>
      <w:r w:rsidRPr="00BE51FA">
        <w:rPr>
          <w:rFonts w:asciiTheme="minorHAnsi" w:hAnsiTheme="minorHAnsi" w:cstheme="minorHAnsi"/>
          <w:spacing w:val="21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Clerk. The motions attorneys can also process</w:t>
      </w:r>
      <w:r w:rsidRPr="00BE51FA">
        <w:rPr>
          <w:rFonts w:asciiTheme="minorHAnsi" w:hAnsiTheme="minorHAnsi" w:cstheme="minorHAnsi"/>
          <w:spacing w:val="20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 xml:space="preserve">emergency and urgent motions, as well as motions </w:t>
      </w:r>
      <w:r w:rsidRPr="00BE51FA">
        <w:rPr>
          <w:rFonts w:asciiTheme="minorHAnsi" w:hAnsiTheme="minorHAnsi" w:cstheme="minorHAnsi"/>
          <w:spacing w:val="-2"/>
        </w:rPr>
        <w:t>for</w:t>
      </w:r>
      <w:r w:rsidRPr="00BE51FA">
        <w:rPr>
          <w:rFonts w:asciiTheme="minorHAnsi" w:hAnsiTheme="minorHAnsi" w:cstheme="minorHAnsi"/>
          <w:spacing w:val="-3"/>
        </w:rPr>
        <w:t xml:space="preserve"> reconsideration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1"/>
        </w:rPr>
        <w:t>of</w:t>
      </w:r>
      <w:r w:rsidRPr="00BE51FA">
        <w:rPr>
          <w:rFonts w:asciiTheme="minorHAnsi" w:hAnsiTheme="minorHAnsi" w:cstheme="minorHAnsi"/>
          <w:spacing w:val="-5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 xml:space="preserve">orders filed </w:t>
      </w:r>
      <w:r w:rsidRPr="00BE51FA">
        <w:rPr>
          <w:rFonts w:asciiTheme="minorHAnsi" w:hAnsiTheme="minorHAnsi" w:cstheme="minorHAnsi"/>
          <w:spacing w:val="-2"/>
        </w:rPr>
        <w:t>by</w:t>
      </w:r>
      <w:r w:rsidRPr="00BE51FA">
        <w:rPr>
          <w:rFonts w:asciiTheme="minorHAnsi" w:hAnsiTheme="minorHAnsi" w:cstheme="minorHAnsi"/>
          <w:spacing w:val="22"/>
        </w:rPr>
        <w:t xml:space="preserve"> </w:t>
      </w:r>
      <w:r w:rsidRPr="00BE51FA">
        <w:rPr>
          <w:rFonts w:asciiTheme="minorHAnsi" w:hAnsiTheme="minorHAnsi" w:cstheme="minorHAnsi"/>
          <w:spacing w:val="-3"/>
        </w:rPr>
        <w:t>motions panels.</w:t>
      </w:r>
    </w:p>
    <w:p w14:paraId="27D0C8B4" w14:textId="4D8A0141" w:rsidR="00077FD5" w:rsidRDefault="000A5351" w:rsidP="000A5351">
      <w:pPr>
        <w:tabs>
          <w:tab w:val="left" w:pos="360"/>
        </w:tabs>
        <w:spacing w:after="0"/>
      </w:pPr>
      <w:bookmarkStart w:id="0" w:name="_GoBack"/>
      <w:bookmarkEnd w:id="0"/>
      <w:r>
        <w:t>III.</w:t>
      </w:r>
      <w:r>
        <w:tab/>
      </w:r>
      <w:r w:rsidR="00AD624A">
        <w:t>Model Time Standards for intermediate appellate courts</w:t>
      </w:r>
    </w:p>
    <w:p w14:paraId="313D8A69" w14:textId="001FC962" w:rsidR="00077FD5" w:rsidRDefault="00AD624A" w:rsidP="000A5351">
      <w:pPr>
        <w:pStyle w:val="ListParagraph"/>
        <w:numPr>
          <w:ilvl w:val="0"/>
          <w:numId w:val="2"/>
        </w:numPr>
        <w:spacing w:after="0"/>
      </w:pPr>
      <w:r>
        <w:t xml:space="preserve">How </w:t>
      </w:r>
      <w:proofErr w:type="gramStart"/>
      <w:r>
        <w:t>are they established</w:t>
      </w:r>
      <w:proofErr w:type="gramEnd"/>
      <w:r>
        <w:t>, and how can they be adapted to the particular circumstances of each court?</w:t>
      </w:r>
    </w:p>
    <w:p w14:paraId="000D153C" w14:textId="59D25439" w:rsidR="00AD624A" w:rsidRDefault="00AD624A" w:rsidP="000A5351">
      <w:pPr>
        <w:pStyle w:val="ListParagraph"/>
        <w:numPr>
          <w:ilvl w:val="0"/>
          <w:numId w:val="2"/>
        </w:numPr>
        <w:spacing w:after="0"/>
      </w:pPr>
      <w:r>
        <w:t xml:space="preserve">Should more </w:t>
      </w:r>
      <w:r w:rsidR="00484BB1">
        <w:t xml:space="preserve">appellate </w:t>
      </w:r>
      <w:r>
        <w:t>courts adopt them</w:t>
      </w:r>
      <w:r w:rsidR="00484BB1">
        <w:t>?</w:t>
      </w:r>
    </w:p>
    <w:p w14:paraId="20F3AA6C" w14:textId="77777777" w:rsidR="00077FD5" w:rsidRPr="003F7E86" w:rsidRDefault="00077FD5" w:rsidP="003F7E86">
      <w:pPr>
        <w:spacing w:after="0"/>
      </w:pPr>
    </w:p>
    <w:p w14:paraId="3EDDC7A1" w14:textId="0006263F" w:rsidR="00077FD5" w:rsidRDefault="00077FD5" w:rsidP="000A5351">
      <w:pPr>
        <w:tabs>
          <w:tab w:val="left" w:pos="360"/>
        </w:tabs>
        <w:spacing w:after="0"/>
      </w:pPr>
      <w:r w:rsidRPr="003F7E86">
        <w:t>I</w:t>
      </w:r>
      <w:r w:rsidR="000A5351">
        <w:t>V</w:t>
      </w:r>
      <w:r w:rsidRPr="003F7E86">
        <w:t>.</w:t>
      </w:r>
      <w:r w:rsidRPr="003F7E86">
        <w:tab/>
      </w:r>
      <w:r w:rsidR="00484BB1">
        <w:t xml:space="preserve">Appellate mediation programs: </w:t>
      </w:r>
      <w:proofErr w:type="gramStart"/>
      <w:r w:rsidR="00484BB1">
        <w:t>what’s</w:t>
      </w:r>
      <w:proofErr w:type="gramEnd"/>
      <w:r w:rsidR="00484BB1">
        <w:t xml:space="preserve"> working, and what can be improved?</w:t>
      </w:r>
    </w:p>
    <w:p w14:paraId="32C478F0" w14:textId="7693B2EE" w:rsidR="00EC2524" w:rsidRDefault="00484BB1" w:rsidP="000A5351">
      <w:pPr>
        <w:pStyle w:val="ListParagraph"/>
        <w:numPr>
          <w:ilvl w:val="0"/>
          <w:numId w:val="3"/>
        </w:numPr>
        <w:spacing w:after="0"/>
      </w:pPr>
      <w:r>
        <w:t>Which cases are the best candidates for mediation?</w:t>
      </w:r>
    </w:p>
    <w:p w14:paraId="26EEF9DC" w14:textId="24829156" w:rsidR="00BE51FA" w:rsidRDefault="00BE51FA" w:rsidP="000A5351">
      <w:pPr>
        <w:pStyle w:val="ListParagraph"/>
        <w:numPr>
          <w:ilvl w:val="0"/>
          <w:numId w:val="3"/>
        </w:numPr>
        <w:spacing w:after="0"/>
      </w:pPr>
      <w:r>
        <w:t>Who are the mediators?  Court employed attorneys or private attorneys (who have taken mediation training).</w:t>
      </w:r>
    </w:p>
    <w:p w14:paraId="33150B3D" w14:textId="71D8D3C5" w:rsidR="00077FD5" w:rsidRDefault="00EC2524" w:rsidP="000A5351">
      <w:pPr>
        <w:pStyle w:val="ListParagraph"/>
        <w:numPr>
          <w:ilvl w:val="0"/>
          <w:numId w:val="3"/>
        </w:numPr>
        <w:spacing w:after="0"/>
      </w:pPr>
      <w:r>
        <w:t>Should appellate mediation programs be limited to simple cases that can be resolved early and quickly, or should more complex cases also be screened?</w:t>
      </w:r>
    </w:p>
    <w:p w14:paraId="353FECD4" w14:textId="6D33D274" w:rsidR="00484BB1" w:rsidRDefault="00EC2524" w:rsidP="000A5351">
      <w:pPr>
        <w:pStyle w:val="ListParagraph"/>
        <w:numPr>
          <w:ilvl w:val="0"/>
          <w:numId w:val="3"/>
        </w:numPr>
        <w:spacing w:after="0"/>
      </w:pPr>
      <w:r>
        <w:t>The role of the mediator: facilitator, evaluator, or both</w:t>
      </w:r>
      <w:r w:rsidR="00484BB1">
        <w:t>?</w:t>
      </w:r>
    </w:p>
    <w:p w14:paraId="07C6A551" w14:textId="78F47289" w:rsidR="00EC2524" w:rsidRDefault="00EC2524" w:rsidP="000A5351">
      <w:pPr>
        <w:pStyle w:val="ListParagraph"/>
        <w:numPr>
          <w:ilvl w:val="0"/>
          <w:numId w:val="3"/>
        </w:numPr>
        <w:spacing w:after="0"/>
      </w:pPr>
      <w:r>
        <w:t>How do litigants and counsel feel about the usefulness of appellate mediation programs?</w:t>
      </w:r>
    </w:p>
    <w:p w14:paraId="2D4E5900" w14:textId="77777777" w:rsidR="00484BB1" w:rsidRPr="003F7E86" w:rsidRDefault="00484BB1" w:rsidP="003F7E86">
      <w:pPr>
        <w:spacing w:after="0"/>
      </w:pPr>
    </w:p>
    <w:sectPr w:rsidR="00484BB1" w:rsidRPr="003F7E86" w:rsidSect="000A5351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BC95" w14:textId="77777777" w:rsidR="008050A0" w:rsidRDefault="008050A0" w:rsidP="00536BBC">
      <w:pPr>
        <w:spacing w:after="0" w:line="240" w:lineRule="auto"/>
      </w:pPr>
      <w:r>
        <w:separator/>
      </w:r>
    </w:p>
  </w:endnote>
  <w:endnote w:type="continuationSeparator" w:id="0">
    <w:p w14:paraId="77F1FD1F" w14:textId="77777777" w:rsidR="008050A0" w:rsidRDefault="008050A0" w:rsidP="0053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974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E713A" w14:textId="772CFFAA" w:rsidR="00536BBC" w:rsidRDefault="00D23AB7" w:rsidP="00D23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3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8434" w14:textId="77777777" w:rsidR="008050A0" w:rsidRDefault="008050A0" w:rsidP="00536BBC">
      <w:pPr>
        <w:spacing w:after="0" w:line="240" w:lineRule="auto"/>
      </w:pPr>
      <w:r>
        <w:separator/>
      </w:r>
    </w:p>
  </w:footnote>
  <w:footnote w:type="continuationSeparator" w:id="0">
    <w:p w14:paraId="03D885B9" w14:textId="77777777" w:rsidR="008050A0" w:rsidRDefault="008050A0" w:rsidP="00536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7F6"/>
    <w:multiLevelType w:val="hybridMultilevel"/>
    <w:tmpl w:val="5FAA9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82801"/>
    <w:multiLevelType w:val="hybridMultilevel"/>
    <w:tmpl w:val="CD3A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D2C55"/>
    <w:multiLevelType w:val="hybridMultilevel"/>
    <w:tmpl w:val="C31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F4E1C"/>
    <w:multiLevelType w:val="hybridMultilevel"/>
    <w:tmpl w:val="584A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339D2"/>
    <w:multiLevelType w:val="hybridMultilevel"/>
    <w:tmpl w:val="96C2330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F8"/>
    <w:rsid w:val="00077FD5"/>
    <w:rsid w:val="000A5351"/>
    <w:rsid w:val="000F083A"/>
    <w:rsid w:val="001B02CC"/>
    <w:rsid w:val="001F6935"/>
    <w:rsid w:val="00246811"/>
    <w:rsid w:val="003119A0"/>
    <w:rsid w:val="003C3384"/>
    <w:rsid w:val="003F7E86"/>
    <w:rsid w:val="00484BB1"/>
    <w:rsid w:val="004F045C"/>
    <w:rsid w:val="005047A3"/>
    <w:rsid w:val="005363F8"/>
    <w:rsid w:val="00536BBC"/>
    <w:rsid w:val="00541798"/>
    <w:rsid w:val="005E1749"/>
    <w:rsid w:val="00643B6E"/>
    <w:rsid w:val="006B699E"/>
    <w:rsid w:val="006D17EC"/>
    <w:rsid w:val="008050A0"/>
    <w:rsid w:val="00913D18"/>
    <w:rsid w:val="00931D8D"/>
    <w:rsid w:val="009424D8"/>
    <w:rsid w:val="00976458"/>
    <w:rsid w:val="00AA5F75"/>
    <w:rsid w:val="00AD624A"/>
    <w:rsid w:val="00B737D3"/>
    <w:rsid w:val="00BE51FA"/>
    <w:rsid w:val="00BF643A"/>
    <w:rsid w:val="00CB3C1A"/>
    <w:rsid w:val="00D0732B"/>
    <w:rsid w:val="00D23AB7"/>
    <w:rsid w:val="00D332C4"/>
    <w:rsid w:val="00E81645"/>
    <w:rsid w:val="00EC2524"/>
    <w:rsid w:val="00F84058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2AF16A"/>
  <w15:docId w15:val="{44C87DE5-609C-4FD9-A539-6452E5D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BC"/>
  </w:style>
  <w:style w:type="paragraph" w:styleId="Footer">
    <w:name w:val="footer"/>
    <w:basedOn w:val="Normal"/>
    <w:link w:val="FooterChar"/>
    <w:uiPriority w:val="99"/>
    <w:unhideWhenUsed/>
    <w:rsid w:val="0053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B39D4-8FFB-4A30-9CC4-4F9A5AF7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AEJI Conference</vt:lpstr>
    </vt:vector>
  </TitlesOfParts>
  <Company>Los Angeles Superior Court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AEJI Conference</dc:title>
  <dc:subject/>
  <dc:creator>Judge Brian M. Hoffstadt</dc:creator>
  <cp:keywords/>
  <dc:description/>
  <cp:lastModifiedBy>Ann Yandian</cp:lastModifiedBy>
  <cp:revision>2</cp:revision>
  <cp:lastPrinted>2014-05-08T13:58:00Z</cp:lastPrinted>
  <dcterms:created xsi:type="dcterms:W3CDTF">2017-09-18T13:38:00Z</dcterms:created>
  <dcterms:modified xsi:type="dcterms:W3CDTF">2017-09-18T13:38:00Z</dcterms:modified>
</cp:coreProperties>
</file>