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98CBB" w14:textId="0773CB6E" w:rsidR="00077FD5" w:rsidRDefault="003F0911" w:rsidP="00FF7661">
      <w:pPr>
        <w:spacing w:after="0"/>
        <w:jc w:val="center"/>
        <w:rPr>
          <w:b/>
          <w:i/>
        </w:rPr>
      </w:pPr>
      <w:r>
        <w:rPr>
          <w:b/>
          <w:i/>
        </w:rPr>
        <w:t>AJE</w:t>
      </w:r>
      <w:r w:rsidR="00077FD5">
        <w:rPr>
          <w:b/>
          <w:i/>
        </w:rPr>
        <w:t>I Conference</w:t>
      </w:r>
    </w:p>
    <w:p w14:paraId="5C28D3E6" w14:textId="06ABDA1C" w:rsidR="00077FD5" w:rsidRPr="005363F8" w:rsidRDefault="00077FD5" w:rsidP="005363F8">
      <w:pPr>
        <w:spacing w:after="0"/>
        <w:jc w:val="center"/>
        <w:rPr>
          <w:b/>
          <w:i/>
        </w:rPr>
      </w:pPr>
      <w:r>
        <w:rPr>
          <w:b/>
          <w:i/>
        </w:rPr>
        <w:t>“</w:t>
      </w:r>
      <w:r w:rsidR="003F0911">
        <w:rPr>
          <w:b/>
          <w:i/>
        </w:rPr>
        <w:t>Supreme Court Preview</w:t>
      </w:r>
      <w:r>
        <w:rPr>
          <w:b/>
          <w:i/>
        </w:rPr>
        <w:t xml:space="preserve">” </w:t>
      </w:r>
      <w:r w:rsidRPr="00F84058">
        <w:rPr>
          <w:b/>
          <w:i/>
        </w:rPr>
        <w:t>Panel</w:t>
      </w:r>
      <w:r>
        <w:rPr>
          <w:b/>
          <w:i/>
        </w:rPr>
        <w:t xml:space="preserve"> Discussion</w:t>
      </w:r>
    </w:p>
    <w:p w14:paraId="25560309" w14:textId="17E904F5" w:rsidR="00077FD5" w:rsidRPr="00FF7661" w:rsidRDefault="003F0911" w:rsidP="00FF7661">
      <w:pPr>
        <w:spacing w:after="0"/>
        <w:jc w:val="center"/>
        <w:rPr>
          <w:b/>
          <w:i/>
        </w:rPr>
      </w:pPr>
      <w:r>
        <w:rPr>
          <w:b/>
          <w:i/>
        </w:rPr>
        <w:t>November 4, 2017</w:t>
      </w:r>
    </w:p>
    <w:p w14:paraId="6FBF39FF" w14:textId="77777777" w:rsidR="00077FD5" w:rsidRDefault="00077FD5" w:rsidP="005363F8">
      <w:pPr>
        <w:spacing w:after="0"/>
        <w:rPr>
          <w:i/>
        </w:rPr>
      </w:pPr>
    </w:p>
    <w:p w14:paraId="1620E1A7" w14:textId="77777777" w:rsidR="00077FD5" w:rsidRDefault="00077FD5" w:rsidP="005363F8">
      <w:pPr>
        <w:spacing w:after="0"/>
      </w:pPr>
      <w:r>
        <w:rPr>
          <w:i/>
          <w:u w:val="single"/>
        </w:rPr>
        <w:t>Participants</w:t>
      </w:r>
    </w:p>
    <w:p w14:paraId="067D7A72" w14:textId="77777777" w:rsidR="00077FD5" w:rsidRDefault="00077FD5" w:rsidP="005363F8">
      <w:pPr>
        <w:spacing w:after="0"/>
      </w:pPr>
    </w:p>
    <w:p w14:paraId="21029D1E" w14:textId="4BEF015C" w:rsidR="00077FD5" w:rsidRPr="009424D8" w:rsidRDefault="00077FD5" w:rsidP="005363F8">
      <w:pPr>
        <w:spacing w:after="0"/>
        <w:rPr>
          <w:i/>
        </w:rPr>
      </w:pPr>
      <w:r>
        <w:t xml:space="preserve">Panelist, </w:t>
      </w:r>
      <w:r w:rsidR="003F0911">
        <w:t>Honorable Patrick Higginbotham, Federal Judge, U.S. Court of Appeals for the Fifth Circuit</w:t>
      </w:r>
    </w:p>
    <w:p w14:paraId="7C52403E" w14:textId="0A0404DB" w:rsidR="00077FD5" w:rsidRDefault="00077FD5" w:rsidP="005363F8">
      <w:pPr>
        <w:spacing w:after="0"/>
      </w:pPr>
      <w:r>
        <w:t xml:space="preserve">Panelist, </w:t>
      </w:r>
      <w:r w:rsidR="003F0911">
        <w:t xml:space="preserve">Professor Pam </w:t>
      </w:r>
      <w:proofErr w:type="spellStart"/>
      <w:r w:rsidR="003F0911">
        <w:t>Karlan</w:t>
      </w:r>
      <w:proofErr w:type="spellEnd"/>
      <w:r w:rsidR="003F0911">
        <w:t>, Co-Director of the Stanford Law School Supreme Court Litigation Clinic</w:t>
      </w:r>
    </w:p>
    <w:p w14:paraId="573B00E7" w14:textId="4C774F34" w:rsidR="00793120" w:rsidRPr="009424D8" w:rsidRDefault="00793120" w:rsidP="005363F8">
      <w:pPr>
        <w:spacing w:after="0"/>
        <w:rPr>
          <w:i/>
        </w:rPr>
      </w:pPr>
      <w:r>
        <w:t>Moderator, Dean David Levi, Dean of Duke University School of Law</w:t>
      </w:r>
      <w:bookmarkStart w:id="0" w:name="_GoBack"/>
      <w:bookmarkEnd w:id="0"/>
    </w:p>
    <w:p w14:paraId="7A777B23" w14:textId="77777777" w:rsidR="00077FD5" w:rsidRPr="00FF7661" w:rsidRDefault="00077FD5" w:rsidP="005363F8">
      <w:pPr>
        <w:spacing w:after="0"/>
      </w:pPr>
    </w:p>
    <w:p w14:paraId="54BBEE37" w14:textId="77777777" w:rsidR="00077FD5" w:rsidRDefault="00077FD5" w:rsidP="005363F8">
      <w:pPr>
        <w:spacing w:after="0"/>
      </w:pPr>
      <w:r>
        <w:rPr>
          <w:i/>
          <w:u w:val="single"/>
        </w:rPr>
        <w:t>Learning Objectives</w:t>
      </w:r>
    </w:p>
    <w:p w14:paraId="48AEA19A" w14:textId="77777777" w:rsidR="00077FD5" w:rsidRDefault="00077FD5" w:rsidP="005363F8">
      <w:pPr>
        <w:spacing w:after="0"/>
      </w:pPr>
    </w:p>
    <w:p w14:paraId="6E7A60D1" w14:textId="3773C04E" w:rsidR="00077FD5" w:rsidRDefault="00077FD5" w:rsidP="005363F8">
      <w:pPr>
        <w:spacing w:after="0"/>
      </w:pPr>
      <w:r>
        <w:t xml:space="preserve">The panelists </w:t>
      </w:r>
      <w:r w:rsidR="00D1421A">
        <w:t>will comment on the current composition of the Supreme Court and the state of the Court’s docket.  They will then discuss pending U.S. Supreme Court cases in various topical areas, including (1) criminal procedure and evidence; (2) equality, the First Amendment, and the culture wars; (3) voting and elections; and (4) human rights-related issues.</w:t>
      </w:r>
    </w:p>
    <w:p w14:paraId="67E123E4" w14:textId="77777777" w:rsidR="00077FD5" w:rsidRDefault="00077FD5" w:rsidP="005363F8">
      <w:pPr>
        <w:spacing w:after="0"/>
      </w:pPr>
    </w:p>
    <w:p w14:paraId="432AC64F" w14:textId="77777777" w:rsidR="00077FD5" w:rsidRPr="00FF7661" w:rsidRDefault="00077FD5" w:rsidP="005363F8">
      <w:pPr>
        <w:spacing w:after="0"/>
      </w:pPr>
      <w:r>
        <w:rPr>
          <w:i/>
          <w:u w:val="single"/>
        </w:rPr>
        <w:t>Topical Outline</w:t>
      </w:r>
    </w:p>
    <w:p w14:paraId="5B068E6D" w14:textId="77777777" w:rsidR="00077FD5" w:rsidRDefault="00077FD5" w:rsidP="005363F8">
      <w:pPr>
        <w:spacing w:after="0"/>
      </w:pPr>
    </w:p>
    <w:p w14:paraId="37592E39" w14:textId="77777777" w:rsidR="00346916" w:rsidRPr="00346916" w:rsidRDefault="00346916" w:rsidP="00346916">
      <w:pPr>
        <w:pStyle w:val="Heading1"/>
        <w:keepNext w:val="0"/>
        <w:keepLines w:val="0"/>
        <w:widowControl w:val="0"/>
        <w:spacing w:before="0" w:after="240"/>
        <w:rPr>
          <w:rFonts w:asciiTheme="minorHAnsi" w:hAnsiTheme="minorHAnsi" w:cstheme="minorHAnsi"/>
          <w:color w:val="auto"/>
          <w:sz w:val="22"/>
          <w:szCs w:val="26"/>
        </w:rPr>
      </w:pPr>
      <w:r w:rsidRPr="00346916">
        <w:rPr>
          <w:rFonts w:asciiTheme="minorHAnsi" w:hAnsiTheme="minorHAnsi" w:cstheme="minorHAnsi"/>
          <w:color w:val="auto"/>
          <w:sz w:val="22"/>
          <w:szCs w:val="26"/>
        </w:rPr>
        <w:t>Introduction</w:t>
      </w:r>
    </w:p>
    <w:p w14:paraId="734F13A6" w14:textId="77777777" w:rsidR="00346916" w:rsidRPr="00346916" w:rsidRDefault="00346916" w:rsidP="00346916">
      <w:pPr>
        <w:pStyle w:val="Heading2"/>
        <w:spacing w:before="0" w:after="240"/>
        <w:rPr>
          <w:rFonts w:asciiTheme="minorHAnsi" w:hAnsiTheme="minorHAnsi" w:cstheme="minorHAnsi"/>
          <w:color w:val="auto"/>
          <w:sz w:val="22"/>
        </w:rPr>
      </w:pPr>
      <w:r w:rsidRPr="00346916">
        <w:rPr>
          <w:rFonts w:asciiTheme="minorHAnsi" w:hAnsiTheme="minorHAnsi" w:cstheme="minorHAnsi"/>
          <w:color w:val="auto"/>
          <w:sz w:val="22"/>
        </w:rPr>
        <w:t>The shape of the Court</w:t>
      </w:r>
    </w:p>
    <w:p w14:paraId="3BB1CA6E" w14:textId="77777777" w:rsidR="00346916" w:rsidRPr="00346916" w:rsidRDefault="00346916" w:rsidP="00346916">
      <w:pPr>
        <w:pStyle w:val="Heading2"/>
        <w:spacing w:before="0" w:after="240"/>
        <w:rPr>
          <w:rFonts w:asciiTheme="minorHAnsi" w:hAnsiTheme="minorHAnsi" w:cstheme="minorHAnsi"/>
          <w:color w:val="auto"/>
          <w:sz w:val="22"/>
        </w:rPr>
      </w:pPr>
      <w:r w:rsidRPr="00346916">
        <w:rPr>
          <w:rFonts w:asciiTheme="minorHAnsi" w:hAnsiTheme="minorHAnsi" w:cstheme="minorHAnsi"/>
          <w:color w:val="auto"/>
          <w:sz w:val="22"/>
        </w:rPr>
        <w:t>The shape of the docket</w:t>
      </w:r>
    </w:p>
    <w:p w14:paraId="2EAFB302" w14:textId="77777777" w:rsidR="00346916" w:rsidRPr="00346916" w:rsidRDefault="00346916" w:rsidP="00346916">
      <w:pPr>
        <w:pStyle w:val="Heading1"/>
        <w:spacing w:before="0" w:after="240"/>
        <w:rPr>
          <w:rFonts w:asciiTheme="minorHAnsi" w:hAnsiTheme="minorHAnsi" w:cstheme="minorHAnsi"/>
          <w:color w:val="auto"/>
          <w:sz w:val="22"/>
          <w:szCs w:val="26"/>
        </w:rPr>
      </w:pPr>
      <w:r w:rsidRPr="00346916">
        <w:rPr>
          <w:rFonts w:asciiTheme="minorHAnsi" w:hAnsiTheme="minorHAnsi" w:cstheme="minorHAnsi"/>
          <w:color w:val="auto"/>
          <w:sz w:val="22"/>
          <w:szCs w:val="26"/>
        </w:rPr>
        <w:t>Criminal procedure and evidence</w:t>
      </w:r>
    </w:p>
    <w:p w14:paraId="25730D6C" w14:textId="77777777" w:rsidR="00346916" w:rsidRPr="00346916" w:rsidRDefault="00346916" w:rsidP="00346916">
      <w:pPr>
        <w:pStyle w:val="Heading2"/>
        <w:spacing w:before="0" w:after="240"/>
        <w:rPr>
          <w:rFonts w:asciiTheme="minorHAnsi" w:hAnsiTheme="minorHAnsi" w:cstheme="minorHAnsi"/>
          <w:color w:val="auto"/>
          <w:sz w:val="22"/>
          <w:u w:val="single"/>
        </w:rPr>
      </w:pPr>
      <w:r w:rsidRPr="00346916">
        <w:rPr>
          <w:rFonts w:asciiTheme="minorHAnsi" w:hAnsiTheme="minorHAnsi" w:cstheme="minorHAnsi"/>
          <w:color w:val="auto"/>
          <w:sz w:val="22"/>
          <w:u w:val="single"/>
        </w:rPr>
        <w:t>Carpenter v. United States</w:t>
      </w:r>
    </w:p>
    <w:p w14:paraId="49D6BCD4" w14:textId="77777777" w:rsidR="00346916" w:rsidRPr="00346916" w:rsidRDefault="00346916" w:rsidP="00346916">
      <w:pPr>
        <w:spacing w:after="240"/>
        <w:ind w:left="1440"/>
        <w:rPr>
          <w:rFonts w:asciiTheme="minorHAnsi" w:hAnsiTheme="minorHAnsi" w:cstheme="minorHAnsi"/>
          <w:szCs w:val="26"/>
        </w:rPr>
      </w:pPr>
      <w:r w:rsidRPr="00346916">
        <w:rPr>
          <w:rFonts w:asciiTheme="minorHAnsi" w:hAnsiTheme="minorHAnsi" w:cstheme="minorHAnsi"/>
          <w:szCs w:val="26"/>
        </w:rPr>
        <w:t>Does the seizure and search of historical cell phone records revealing the location and movements of a cell phone user over several months require a warrant?</w:t>
      </w:r>
    </w:p>
    <w:p w14:paraId="4E16EDA0" w14:textId="77777777" w:rsidR="00346916" w:rsidRPr="00346916" w:rsidRDefault="00346916" w:rsidP="00346916">
      <w:pPr>
        <w:pStyle w:val="Heading2"/>
        <w:spacing w:before="0" w:after="240"/>
        <w:rPr>
          <w:rFonts w:asciiTheme="minorHAnsi" w:hAnsiTheme="minorHAnsi" w:cstheme="minorHAnsi"/>
          <w:color w:val="auto"/>
          <w:sz w:val="22"/>
        </w:rPr>
      </w:pPr>
      <w:r w:rsidRPr="00346916">
        <w:rPr>
          <w:rFonts w:asciiTheme="minorHAnsi" w:hAnsiTheme="minorHAnsi" w:cstheme="minorHAnsi"/>
          <w:color w:val="auto"/>
          <w:sz w:val="22"/>
        </w:rPr>
        <w:t xml:space="preserve">In the pipeline: </w:t>
      </w:r>
      <w:r w:rsidRPr="00346916">
        <w:rPr>
          <w:rFonts w:asciiTheme="minorHAnsi" w:hAnsiTheme="minorHAnsi" w:cstheme="minorHAnsi"/>
          <w:color w:val="auto"/>
          <w:sz w:val="22"/>
          <w:u w:val="single"/>
        </w:rPr>
        <w:t>Robinson v. United States</w:t>
      </w:r>
    </w:p>
    <w:p w14:paraId="60A70072" w14:textId="14BB1469" w:rsidR="00D1421A" w:rsidRDefault="00346916" w:rsidP="00346916">
      <w:pPr>
        <w:spacing w:after="240"/>
        <w:ind w:left="1440"/>
        <w:rPr>
          <w:rFonts w:asciiTheme="minorHAnsi" w:hAnsiTheme="minorHAnsi" w:cstheme="minorHAnsi"/>
          <w:szCs w:val="26"/>
        </w:rPr>
      </w:pPr>
      <w:r w:rsidRPr="00346916">
        <w:rPr>
          <w:rFonts w:asciiTheme="minorHAnsi" w:hAnsiTheme="minorHAnsi" w:cstheme="minorHAnsi"/>
          <w:szCs w:val="26"/>
        </w:rPr>
        <w:t xml:space="preserve">Under </w:t>
      </w:r>
      <w:r w:rsidRPr="00346916">
        <w:rPr>
          <w:rFonts w:asciiTheme="minorHAnsi" w:hAnsiTheme="minorHAnsi" w:cstheme="minorHAnsi"/>
          <w:szCs w:val="26"/>
          <w:u w:val="single"/>
        </w:rPr>
        <w:t>Terry</w:t>
      </w:r>
      <w:r w:rsidRPr="00346916">
        <w:rPr>
          <w:rFonts w:asciiTheme="minorHAnsi" w:hAnsiTheme="minorHAnsi" w:cstheme="minorHAnsi"/>
          <w:szCs w:val="26"/>
          <w:u w:val="single"/>
        </w:rPr>
        <w:fldChar w:fldCharType="begin"/>
      </w:r>
      <w:r w:rsidRPr="00346916">
        <w:rPr>
          <w:rFonts w:asciiTheme="minorHAnsi" w:hAnsiTheme="minorHAnsi" w:cstheme="minorHAnsi"/>
          <w:szCs w:val="26"/>
          <w:u w:val="single"/>
        </w:rPr>
        <w:instrText xml:space="preserve"> TA \l "Terry v. Ohio, 392 U.S. 1 (1968)" \s "Terry" \c 1 </w:instrText>
      </w:r>
      <w:r w:rsidRPr="00346916">
        <w:rPr>
          <w:rFonts w:asciiTheme="minorHAnsi" w:hAnsiTheme="minorHAnsi" w:cstheme="minorHAnsi"/>
          <w:szCs w:val="26"/>
          <w:u w:val="single"/>
        </w:rPr>
        <w:fldChar w:fldCharType="end"/>
      </w:r>
      <w:r w:rsidRPr="00346916">
        <w:rPr>
          <w:rFonts w:asciiTheme="minorHAnsi" w:hAnsiTheme="minorHAnsi" w:cstheme="minorHAnsi"/>
          <w:szCs w:val="26"/>
          <w:u w:val="single"/>
        </w:rPr>
        <w:t xml:space="preserve"> v. Ohio</w:t>
      </w:r>
      <w:r w:rsidRPr="00346916">
        <w:rPr>
          <w:rFonts w:asciiTheme="minorHAnsi" w:hAnsiTheme="minorHAnsi" w:cstheme="minorHAnsi"/>
          <w:szCs w:val="26"/>
        </w:rPr>
        <w:t>, 392 U.S. 1 (1968), officers who lack probable cause or a warrant may search a person they have lawfully stopped only if they have specific and articulable reason to believe that person is “armed and presently dangerous.” In a state that permits residents legally to carry firearms while in public, whether, or under what circumstances, an officer’s belief that a person is armed allows the officer to infer for purposes of a Terry</w:t>
      </w:r>
      <w:r w:rsidRPr="00346916">
        <w:rPr>
          <w:rFonts w:asciiTheme="minorHAnsi" w:hAnsiTheme="minorHAnsi" w:cstheme="minorHAnsi"/>
          <w:szCs w:val="26"/>
        </w:rPr>
        <w:fldChar w:fldCharType="begin"/>
      </w:r>
      <w:r w:rsidRPr="00346916">
        <w:rPr>
          <w:rFonts w:asciiTheme="minorHAnsi" w:hAnsiTheme="minorHAnsi" w:cstheme="minorHAnsi"/>
          <w:szCs w:val="26"/>
        </w:rPr>
        <w:instrText xml:space="preserve"> TA \s "Terry" </w:instrText>
      </w:r>
      <w:r w:rsidRPr="00346916">
        <w:rPr>
          <w:rFonts w:asciiTheme="minorHAnsi" w:hAnsiTheme="minorHAnsi" w:cstheme="minorHAnsi"/>
          <w:szCs w:val="26"/>
        </w:rPr>
        <w:fldChar w:fldCharType="end"/>
      </w:r>
      <w:r w:rsidRPr="00346916">
        <w:rPr>
          <w:rFonts w:asciiTheme="minorHAnsi" w:hAnsiTheme="minorHAnsi" w:cstheme="minorHAnsi"/>
          <w:szCs w:val="26"/>
        </w:rPr>
        <w:t xml:space="preserve"> search that the person is “presently dangerous”?</w:t>
      </w:r>
    </w:p>
    <w:p w14:paraId="680AB86A" w14:textId="77777777" w:rsidR="00D1421A" w:rsidRDefault="00D1421A">
      <w:pPr>
        <w:spacing w:after="0" w:line="240" w:lineRule="auto"/>
        <w:rPr>
          <w:rFonts w:asciiTheme="minorHAnsi" w:hAnsiTheme="minorHAnsi" w:cstheme="minorHAnsi"/>
          <w:szCs w:val="26"/>
        </w:rPr>
      </w:pPr>
      <w:r>
        <w:rPr>
          <w:rFonts w:asciiTheme="minorHAnsi" w:hAnsiTheme="minorHAnsi" w:cstheme="minorHAnsi"/>
          <w:szCs w:val="26"/>
        </w:rPr>
        <w:br w:type="page"/>
      </w:r>
    </w:p>
    <w:p w14:paraId="01C8EFC8" w14:textId="63EA50A9" w:rsidR="00346916" w:rsidRPr="00346916" w:rsidRDefault="00346916" w:rsidP="00346916">
      <w:pPr>
        <w:pStyle w:val="Heading1"/>
        <w:spacing w:before="0" w:after="240"/>
        <w:rPr>
          <w:rFonts w:asciiTheme="minorHAnsi" w:hAnsiTheme="minorHAnsi" w:cstheme="minorHAnsi"/>
          <w:color w:val="auto"/>
          <w:sz w:val="22"/>
          <w:szCs w:val="26"/>
        </w:rPr>
      </w:pPr>
      <w:r w:rsidRPr="00346916">
        <w:rPr>
          <w:rFonts w:asciiTheme="minorHAnsi" w:hAnsiTheme="minorHAnsi" w:cstheme="minorHAnsi"/>
          <w:color w:val="auto"/>
          <w:sz w:val="22"/>
          <w:szCs w:val="26"/>
        </w:rPr>
        <w:lastRenderedPageBreak/>
        <w:t>Equality, the First Amendment, and the Culture Wars</w:t>
      </w:r>
    </w:p>
    <w:p w14:paraId="14A38162" w14:textId="77777777" w:rsidR="00346916" w:rsidRPr="00346916" w:rsidRDefault="00346916" w:rsidP="00346916">
      <w:pPr>
        <w:pStyle w:val="Heading2"/>
        <w:keepNext w:val="0"/>
        <w:keepLines w:val="0"/>
        <w:spacing w:before="0" w:after="240"/>
        <w:rPr>
          <w:rFonts w:asciiTheme="minorHAnsi" w:hAnsiTheme="minorHAnsi" w:cstheme="minorHAnsi"/>
          <w:color w:val="auto"/>
          <w:sz w:val="22"/>
          <w:u w:val="single"/>
        </w:rPr>
      </w:pPr>
      <w:r w:rsidRPr="00346916">
        <w:rPr>
          <w:rFonts w:asciiTheme="minorHAnsi" w:hAnsiTheme="minorHAnsi" w:cstheme="minorHAnsi"/>
          <w:color w:val="auto"/>
          <w:sz w:val="22"/>
          <w:u w:val="single"/>
        </w:rPr>
        <w:t xml:space="preserve">Masterpiece </w:t>
      </w:r>
      <w:proofErr w:type="spellStart"/>
      <w:r w:rsidRPr="00346916">
        <w:rPr>
          <w:rFonts w:asciiTheme="minorHAnsi" w:hAnsiTheme="minorHAnsi" w:cstheme="minorHAnsi"/>
          <w:color w:val="auto"/>
          <w:sz w:val="22"/>
          <w:u w:val="single"/>
        </w:rPr>
        <w:t>Cakeshop</w:t>
      </w:r>
      <w:proofErr w:type="spellEnd"/>
      <w:r w:rsidRPr="00346916">
        <w:rPr>
          <w:rFonts w:asciiTheme="minorHAnsi" w:hAnsiTheme="minorHAnsi" w:cstheme="minorHAnsi"/>
          <w:color w:val="auto"/>
          <w:sz w:val="22"/>
          <w:u w:val="single"/>
        </w:rPr>
        <w:t>, Ltd. v. Colorado Civil Rights Commission</w:t>
      </w:r>
    </w:p>
    <w:p w14:paraId="5FA74925" w14:textId="77777777" w:rsidR="00346916" w:rsidRPr="00346916" w:rsidRDefault="00346916" w:rsidP="00346916">
      <w:pPr>
        <w:pStyle w:val="Heading2"/>
        <w:keepNext w:val="0"/>
        <w:keepLines w:val="0"/>
        <w:numPr>
          <w:ilvl w:val="0"/>
          <w:numId w:val="0"/>
        </w:numPr>
        <w:spacing w:before="0" w:after="240"/>
        <w:ind w:left="1440"/>
        <w:rPr>
          <w:rFonts w:asciiTheme="minorHAnsi" w:hAnsiTheme="minorHAnsi" w:cstheme="minorHAnsi"/>
          <w:color w:val="auto"/>
          <w:sz w:val="22"/>
        </w:rPr>
      </w:pPr>
      <w:r w:rsidRPr="00346916">
        <w:rPr>
          <w:rFonts w:asciiTheme="minorHAnsi" w:hAnsiTheme="minorHAnsi" w:cstheme="minorHAnsi"/>
          <w:color w:val="auto"/>
          <w:sz w:val="22"/>
        </w:rPr>
        <w:t>Whether applying Colorado's public accommodations law to compel the petitioner to create expression that violates his sincerely held religious beliefs about marriage violates the Free Speech or Free Exercise Clauses of the First Amendment.</w:t>
      </w:r>
    </w:p>
    <w:p w14:paraId="2FADF84B" w14:textId="77777777" w:rsidR="00346916" w:rsidRPr="00346916" w:rsidRDefault="00346916" w:rsidP="00346916">
      <w:pPr>
        <w:pStyle w:val="Heading2"/>
        <w:spacing w:before="0" w:after="240"/>
        <w:rPr>
          <w:rFonts w:asciiTheme="minorHAnsi" w:hAnsiTheme="minorHAnsi" w:cstheme="minorHAnsi"/>
          <w:color w:val="auto"/>
          <w:sz w:val="22"/>
          <w:u w:val="single"/>
        </w:rPr>
      </w:pPr>
      <w:r w:rsidRPr="00346916">
        <w:rPr>
          <w:rFonts w:asciiTheme="minorHAnsi" w:hAnsiTheme="minorHAnsi" w:cstheme="minorHAnsi"/>
          <w:color w:val="auto"/>
          <w:sz w:val="22"/>
          <w:u w:val="single"/>
        </w:rPr>
        <w:t>In the pipeline: Evans v. Georgia Regional Hospital</w:t>
      </w:r>
    </w:p>
    <w:p w14:paraId="401B25A5" w14:textId="77777777" w:rsidR="00346916" w:rsidRPr="00346916" w:rsidRDefault="00346916" w:rsidP="00346916">
      <w:pPr>
        <w:spacing w:after="240"/>
        <w:ind w:left="1440"/>
        <w:rPr>
          <w:rFonts w:asciiTheme="minorHAnsi" w:eastAsia="Times New Roman" w:hAnsiTheme="minorHAnsi" w:cstheme="minorHAnsi"/>
          <w:szCs w:val="26"/>
        </w:rPr>
      </w:pPr>
      <w:r w:rsidRPr="00346916">
        <w:rPr>
          <w:rFonts w:asciiTheme="minorHAnsi" w:eastAsia="Times New Roman" w:hAnsiTheme="minorHAnsi" w:cstheme="minorHAnsi"/>
          <w:szCs w:val="26"/>
        </w:rPr>
        <w:t>Does Title VII’s prohibition on discrimination “because of . . .  sex” forbid discrimination based on sexual orientation?</w:t>
      </w:r>
    </w:p>
    <w:p w14:paraId="05B1A4ED" w14:textId="77777777" w:rsidR="00346916" w:rsidRPr="00346916" w:rsidRDefault="00346916" w:rsidP="00346916">
      <w:pPr>
        <w:pStyle w:val="Heading1"/>
        <w:spacing w:before="0" w:after="240"/>
        <w:rPr>
          <w:rFonts w:asciiTheme="minorHAnsi" w:hAnsiTheme="minorHAnsi" w:cstheme="minorHAnsi"/>
          <w:color w:val="auto"/>
          <w:sz w:val="22"/>
          <w:szCs w:val="26"/>
        </w:rPr>
      </w:pPr>
      <w:r w:rsidRPr="00346916">
        <w:rPr>
          <w:rFonts w:asciiTheme="minorHAnsi" w:hAnsiTheme="minorHAnsi" w:cstheme="minorHAnsi"/>
          <w:color w:val="auto"/>
          <w:sz w:val="22"/>
          <w:szCs w:val="26"/>
        </w:rPr>
        <w:t>Voting and Elections</w:t>
      </w:r>
    </w:p>
    <w:p w14:paraId="0B10DD8F" w14:textId="77777777" w:rsidR="00346916" w:rsidRPr="00346916" w:rsidRDefault="00346916" w:rsidP="00346916">
      <w:pPr>
        <w:pStyle w:val="Heading2"/>
        <w:spacing w:before="0" w:after="240"/>
        <w:rPr>
          <w:rFonts w:asciiTheme="minorHAnsi" w:hAnsiTheme="minorHAnsi" w:cstheme="minorHAnsi"/>
          <w:color w:val="auto"/>
          <w:sz w:val="22"/>
          <w:u w:val="single"/>
        </w:rPr>
      </w:pPr>
      <w:r w:rsidRPr="00346916">
        <w:rPr>
          <w:rFonts w:asciiTheme="minorHAnsi" w:hAnsiTheme="minorHAnsi" w:cstheme="minorHAnsi"/>
          <w:color w:val="auto"/>
          <w:sz w:val="22"/>
          <w:u w:val="single"/>
        </w:rPr>
        <w:t>Gill v. Whitford</w:t>
      </w:r>
    </w:p>
    <w:p w14:paraId="2110790A" w14:textId="77777777" w:rsidR="00346916" w:rsidRPr="00346916" w:rsidRDefault="00346916" w:rsidP="00346916">
      <w:pPr>
        <w:spacing w:after="240"/>
        <w:ind w:left="720" w:firstLine="720"/>
        <w:rPr>
          <w:rFonts w:asciiTheme="minorHAnsi" w:hAnsiTheme="minorHAnsi" w:cstheme="minorHAnsi"/>
          <w:szCs w:val="26"/>
        </w:rPr>
      </w:pPr>
      <w:r w:rsidRPr="00346916">
        <w:rPr>
          <w:rFonts w:asciiTheme="minorHAnsi" w:hAnsiTheme="minorHAnsi" w:cstheme="minorHAnsi"/>
          <w:szCs w:val="26"/>
        </w:rPr>
        <w:t>Is partisan gerrymandering justiciable?</w:t>
      </w:r>
    </w:p>
    <w:p w14:paraId="1000300E" w14:textId="77777777" w:rsidR="00346916" w:rsidRPr="00346916" w:rsidRDefault="00346916" w:rsidP="00346916">
      <w:pPr>
        <w:pStyle w:val="Heading2"/>
        <w:spacing w:before="0" w:after="240"/>
        <w:rPr>
          <w:rFonts w:asciiTheme="minorHAnsi" w:hAnsiTheme="minorHAnsi" w:cstheme="minorHAnsi"/>
          <w:color w:val="auto"/>
          <w:sz w:val="22"/>
        </w:rPr>
      </w:pPr>
      <w:r w:rsidRPr="00346916">
        <w:rPr>
          <w:rFonts w:asciiTheme="minorHAnsi" w:hAnsiTheme="minorHAnsi" w:cstheme="minorHAnsi"/>
          <w:color w:val="auto"/>
          <w:sz w:val="22"/>
          <w:u w:val="single"/>
        </w:rPr>
        <w:t xml:space="preserve">In the pipeline: Abbott v. </w:t>
      </w:r>
      <w:proofErr w:type="spellStart"/>
      <w:r w:rsidRPr="00346916">
        <w:rPr>
          <w:rFonts w:asciiTheme="minorHAnsi" w:hAnsiTheme="minorHAnsi" w:cstheme="minorHAnsi"/>
          <w:color w:val="auto"/>
          <w:sz w:val="22"/>
          <w:u w:val="single"/>
        </w:rPr>
        <w:t>Veasey</w:t>
      </w:r>
      <w:proofErr w:type="spellEnd"/>
    </w:p>
    <w:p w14:paraId="72403E22" w14:textId="77777777" w:rsidR="00346916" w:rsidRPr="00346916" w:rsidRDefault="00346916" w:rsidP="00346916">
      <w:pPr>
        <w:pStyle w:val="Heading2"/>
        <w:numPr>
          <w:ilvl w:val="0"/>
          <w:numId w:val="0"/>
        </w:numPr>
        <w:spacing w:before="0" w:after="240"/>
        <w:ind w:left="720" w:firstLine="720"/>
        <w:rPr>
          <w:rFonts w:asciiTheme="minorHAnsi" w:hAnsiTheme="minorHAnsi" w:cstheme="minorHAnsi"/>
          <w:color w:val="auto"/>
          <w:sz w:val="22"/>
        </w:rPr>
      </w:pPr>
      <w:r w:rsidRPr="00346916">
        <w:rPr>
          <w:rFonts w:asciiTheme="minorHAnsi" w:hAnsiTheme="minorHAnsi" w:cstheme="minorHAnsi"/>
          <w:color w:val="auto"/>
          <w:sz w:val="22"/>
        </w:rPr>
        <w:t>Does Texas’s voter ID law violate the Voting Rights Act?</w:t>
      </w:r>
    </w:p>
    <w:p w14:paraId="259C8F45" w14:textId="77777777" w:rsidR="00346916" w:rsidRPr="00346916" w:rsidRDefault="00346916" w:rsidP="00346916">
      <w:pPr>
        <w:pStyle w:val="Heading2"/>
        <w:spacing w:before="0" w:after="240"/>
        <w:rPr>
          <w:rFonts w:asciiTheme="minorHAnsi" w:hAnsiTheme="minorHAnsi" w:cstheme="minorHAnsi"/>
          <w:color w:val="auto"/>
          <w:sz w:val="22"/>
        </w:rPr>
      </w:pPr>
      <w:r w:rsidRPr="00346916">
        <w:rPr>
          <w:rFonts w:asciiTheme="minorHAnsi" w:hAnsiTheme="minorHAnsi" w:cstheme="minorHAnsi"/>
          <w:color w:val="auto"/>
          <w:sz w:val="22"/>
          <w:u w:val="single"/>
        </w:rPr>
        <w:t>In the pipeline: Abbott v. Perez</w:t>
      </w:r>
    </w:p>
    <w:p w14:paraId="023119B8" w14:textId="77777777" w:rsidR="00346916" w:rsidRPr="00346916" w:rsidRDefault="00346916" w:rsidP="00346916">
      <w:pPr>
        <w:pStyle w:val="Heading2"/>
        <w:numPr>
          <w:ilvl w:val="0"/>
          <w:numId w:val="0"/>
        </w:numPr>
        <w:spacing w:before="0" w:after="240"/>
        <w:ind w:left="720" w:firstLine="720"/>
        <w:rPr>
          <w:rFonts w:asciiTheme="minorHAnsi" w:hAnsiTheme="minorHAnsi" w:cstheme="minorHAnsi"/>
          <w:sz w:val="22"/>
        </w:rPr>
      </w:pPr>
      <w:r w:rsidRPr="00346916">
        <w:rPr>
          <w:rFonts w:asciiTheme="minorHAnsi" w:hAnsiTheme="minorHAnsi" w:cstheme="minorHAnsi"/>
          <w:color w:val="auto"/>
          <w:sz w:val="22"/>
        </w:rPr>
        <w:t>Do Texas’s congressional and state house districts violate federal law?</w:t>
      </w:r>
    </w:p>
    <w:p w14:paraId="30B45E8B" w14:textId="77777777" w:rsidR="00346916" w:rsidRPr="00346916" w:rsidRDefault="00346916" w:rsidP="00346916">
      <w:pPr>
        <w:pStyle w:val="Heading1"/>
        <w:spacing w:before="0" w:after="240"/>
        <w:rPr>
          <w:rFonts w:asciiTheme="minorHAnsi" w:hAnsiTheme="minorHAnsi" w:cstheme="minorHAnsi"/>
          <w:color w:val="auto"/>
          <w:sz w:val="22"/>
          <w:szCs w:val="26"/>
        </w:rPr>
      </w:pPr>
      <w:r w:rsidRPr="00346916">
        <w:rPr>
          <w:rFonts w:asciiTheme="minorHAnsi" w:hAnsiTheme="minorHAnsi" w:cstheme="minorHAnsi"/>
          <w:color w:val="auto"/>
          <w:sz w:val="22"/>
          <w:szCs w:val="26"/>
        </w:rPr>
        <w:t>Human rights-related issues</w:t>
      </w:r>
    </w:p>
    <w:p w14:paraId="129BC4E8" w14:textId="77777777" w:rsidR="00346916" w:rsidRPr="00346916" w:rsidRDefault="00346916" w:rsidP="00346916">
      <w:pPr>
        <w:pStyle w:val="Heading2"/>
        <w:spacing w:before="0" w:after="240"/>
        <w:ind w:left="1440" w:hanging="720"/>
        <w:rPr>
          <w:rFonts w:asciiTheme="minorHAnsi" w:hAnsiTheme="minorHAnsi" w:cstheme="minorHAnsi"/>
          <w:color w:val="auto"/>
          <w:sz w:val="22"/>
          <w:u w:val="single"/>
        </w:rPr>
      </w:pPr>
      <w:proofErr w:type="spellStart"/>
      <w:r w:rsidRPr="00346916">
        <w:rPr>
          <w:rFonts w:asciiTheme="minorHAnsi" w:hAnsiTheme="minorHAnsi" w:cstheme="minorHAnsi"/>
          <w:color w:val="auto"/>
          <w:sz w:val="22"/>
          <w:u w:val="single"/>
        </w:rPr>
        <w:t>Jesner</w:t>
      </w:r>
      <w:proofErr w:type="spellEnd"/>
      <w:r w:rsidRPr="00346916">
        <w:rPr>
          <w:rFonts w:asciiTheme="minorHAnsi" w:hAnsiTheme="minorHAnsi" w:cstheme="minorHAnsi"/>
          <w:color w:val="auto"/>
          <w:sz w:val="22"/>
          <w:u w:val="single"/>
        </w:rPr>
        <w:t xml:space="preserve"> v. Arab Bank</w:t>
      </w:r>
    </w:p>
    <w:p w14:paraId="7CDDAA8E" w14:textId="77777777" w:rsidR="00346916" w:rsidRPr="00346916" w:rsidRDefault="00346916" w:rsidP="00346916">
      <w:pPr>
        <w:spacing w:after="240"/>
        <w:ind w:left="1440"/>
        <w:rPr>
          <w:rFonts w:asciiTheme="minorHAnsi" w:hAnsiTheme="minorHAnsi" w:cstheme="minorHAnsi"/>
          <w:szCs w:val="26"/>
        </w:rPr>
      </w:pPr>
      <w:r w:rsidRPr="00346916">
        <w:rPr>
          <w:rFonts w:asciiTheme="minorHAnsi" w:hAnsiTheme="minorHAnsi" w:cstheme="minorHAnsi"/>
          <w:szCs w:val="26"/>
        </w:rPr>
        <w:t>Can corporations be sued under the Alien Tort Statute?</w:t>
      </w:r>
    </w:p>
    <w:p w14:paraId="5EE50537" w14:textId="77777777" w:rsidR="00346916" w:rsidRPr="00346916" w:rsidRDefault="00346916" w:rsidP="00346916">
      <w:pPr>
        <w:pStyle w:val="Heading2"/>
        <w:spacing w:before="0" w:after="240"/>
        <w:rPr>
          <w:rFonts w:asciiTheme="minorHAnsi" w:hAnsiTheme="minorHAnsi" w:cstheme="minorHAnsi"/>
          <w:color w:val="auto"/>
          <w:sz w:val="22"/>
          <w:u w:val="single"/>
        </w:rPr>
      </w:pPr>
      <w:r w:rsidRPr="00346916">
        <w:rPr>
          <w:rFonts w:asciiTheme="minorHAnsi" w:hAnsiTheme="minorHAnsi" w:cstheme="minorHAnsi"/>
          <w:color w:val="auto"/>
          <w:sz w:val="22"/>
          <w:u w:val="single"/>
        </w:rPr>
        <w:t>Trump v. International Refugee Assistance Project and Trump v. Hawaii</w:t>
      </w:r>
    </w:p>
    <w:p w14:paraId="13060419" w14:textId="77777777" w:rsidR="00346916" w:rsidRPr="00346916" w:rsidRDefault="00346916" w:rsidP="00346916">
      <w:pPr>
        <w:spacing w:after="240"/>
        <w:ind w:left="1440"/>
        <w:rPr>
          <w:rFonts w:asciiTheme="minorHAnsi" w:hAnsiTheme="minorHAnsi" w:cstheme="minorHAnsi"/>
          <w:szCs w:val="26"/>
        </w:rPr>
      </w:pPr>
      <w:r w:rsidRPr="00346916">
        <w:rPr>
          <w:rFonts w:asciiTheme="minorHAnsi" w:hAnsiTheme="minorHAnsi" w:cstheme="minorHAnsi"/>
          <w:szCs w:val="26"/>
        </w:rPr>
        <w:t>Did the President have statutory authority to issue an Executive Order that suspends for 90 days the entry of foreign nationals of six countries that have predominantly Muslim populations?</w:t>
      </w:r>
    </w:p>
    <w:p w14:paraId="68D7E2E2" w14:textId="77777777" w:rsidR="00346916" w:rsidRPr="00346916" w:rsidRDefault="00346916" w:rsidP="00346916">
      <w:pPr>
        <w:spacing w:after="240"/>
        <w:ind w:left="1440"/>
        <w:rPr>
          <w:rFonts w:asciiTheme="minorHAnsi" w:hAnsiTheme="minorHAnsi" w:cstheme="minorHAnsi"/>
          <w:szCs w:val="26"/>
        </w:rPr>
      </w:pPr>
      <w:r w:rsidRPr="00346916">
        <w:rPr>
          <w:rFonts w:asciiTheme="minorHAnsi" w:hAnsiTheme="minorHAnsi" w:cstheme="minorHAnsi"/>
          <w:szCs w:val="26"/>
        </w:rPr>
        <w:t>Does the Executive Order violate Section 1152 of the INA, which prohibits nationality discrimination in the issuance of immigrant visas?</w:t>
      </w:r>
    </w:p>
    <w:p w14:paraId="3C242BB9" w14:textId="64852BB3" w:rsidR="00077FD5" w:rsidRPr="00346916" w:rsidRDefault="00346916" w:rsidP="00346916">
      <w:pPr>
        <w:spacing w:after="240"/>
        <w:ind w:left="1440"/>
        <w:rPr>
          <w:rFonts w:asciiTheme="minorHAnsi" w:hAnsiTheme="minorHAnsi" w:cstheme="minorHAnsi"/>
          <w:szCs w:val="26"/>
        </w:rPr>
      </w:pPr>
      <w:r w:rsidRPr="00346916">
        <w:rPr>
          <w:rFonts w:asciiTheme="minorHAnsi" w:hAnsiTheme="minorHAnsi" w:cstheme="minorHAnsi"/>
          <w:szCs w:val="26"/>
        </w:rPr>
        <w:t>Does the Executive Order violate the Establishment Clause?</w:t>
      </w:r>
    </w:p>
    <w:sectPr w:rsidR="00077FD5" w:rsidRPr="00346916" w:rsidSect="0017756F">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AA997" w14:textId="77777777" w:rsidR="008D1DA1" w:rsidRDefault="008D1DA1" w:rsidP="0017756F">
      <w:pPr>
        <w:spacing w:after="0" w:line="240" w:lineRule="auto"/>
      </w:pPr>
      <w:r>
        <w:separator/>
      </w:r>
    </w:p>
  </w:endnote>
  <w:endnote w:type="continuationSeparator" w:id="0">
    <w:p w14:paraId="347A1BAA" w14:textId="77777777" w:rsidR="008D1DA1" w:rsidRDefault="008D1DA1" w:rsidP="00177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51963"/>
      <w:docPartObj>
        <w:docPartGallery w:val="Page Numbers (Bottom of Page)"/>
        <w:docPartUnique/>
      </w:docPartObj>
    </w:sdtPr>
    <w:sdtEndPr>
      <w:rPr>
        <w:noProof/>
      </w:rPr>
    </w:sdtEndPr>
    <w:sdtContent>
      <w:p w14:paraId="47335C9C" w14:textId="2FDFCB5F" w:rsidR="0017756F" w:rsidRDefault="0017756F" w:rsidP="0017756F">
        <w:pPr>
          <w:pStyle w:val="Footer"/>
          <w:jc w:val="center"/>
        </w:pPr>
        <w:r>
          <w:fldChar w:fldCharType="begin"/>
        </w:r>
        <w:r>
          <w:instrText xml:space="preserve"> PAGE   \* MERGEFORMAT </w:instrText>
        </w:r>
        <w:r>
          <w:fldChar w:fldCharType="separate"/>
        </w:r>
        <w:r w:rsidR="0079312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2596C" w14:textId="77777777" w:rsidR="008D1DA1" w:rsidRDefault="008D1DA1" w:rsidP="0017756F">
      <w:pPr>
        <w:spacing w:after="0" w:line="240" w:lineRule="auto"/>
      </w:pPr>
      <w:r>
        <w:separator/>
      </w:r>
    </w:p>
  </w:footnote>
  <w:footnote w:type="continuationSeparator" w:id="0">
    <w:p w14:paraId="6F7AC732" w14:textId="77777777" w:rsidR="008D1DA1" w:rsidRDefault="008D1DA1" w:rsidP="00177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063B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3F8"/>
    <w:rsid w:val="00077FD5"/>
    <w:rsid w:val="000F083A"/>
    <w:rsid w:val="0017756F"/>
    <w:rsid w:val="00246811"/>
    <w:rsid w:val="00346916"/>
    <w:rsid w:val="003F0911"/>
    <w:rsid w:val="003F7E86"/>
    <w:rsid w:val="005047A3"/>
    <w:rsid w:val="005363F8"/>
    <w:rsid w:val="005E1749"/>
    <w:rsid w:val="00643B6E"/>
    <w:rsid w:val="006D17EC"/>
    <w:rsid w:val="00793120"/>
    <w:rsid w:val="008D1DA1"/>
    <w:rsid w:val="009424D8"/>
    <w:rsid w:val="00B737D3"/>
    <w:rsid w:val="00BF643A"/>
    <w:rsid w:val="00CB3C1A"/>
    <w:rsid w:val="00D1421A"/>
    <w:rsid w:val="00F84058"/>
    <w:rsid w:val="00FF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2AF16A"/>
  <w15:docId w15:val="{44C87DE5-609C-4FD9-A539-6452E5D7F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749"/>
    <w:pPr>
      <w:spacing w:after="200" w:line="276" w:lineRule="auto"/>
    </w:pPr>
  </w:style>
  <w:style w:type="paragraph" w:styleId="Heading1">
    <w:name w:val="heading 1"/>
    <w:basedOn w:val="Normal"/>
    <w:next w:val="Normal"/>
    <w:link w:val="Heading1Char"/>
    <w:uiPriority w:val="9"/>
    <w:qFormat/>
    <w:locked/>
    <w:rsid w:val="00346916"/>
    <w:pPr>
      <w:keepNext/>
      <w:keepLines/>
      <w:numPr>
        <w:numId w:val="1"/>
      </w:numPr>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346916"/>
    <w:pPr>
      <w:keepNext/>
      <w:keepLines/>
      <w:numPr>
        <w:ilvl w:val="1"/>
        <w:numId w:val="1"/>
      </w:numPr>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346916"/>
    <w:pPr>
      <w:keepNext/>
      <w:keepLines/>
      <w:numPr>
        <w:ilvl w:val="2"/>
        <w:numId w:val="1"/>
      </w:numPr>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locked/>
    <w:rsid w:val="00346916"/>
    <w:pPr>
      <w:keepNext/>
      <w:keepLines/>
      <w:numPr>
        <w:ilvl w:val="3"/>
        <w:numId w:val="1"/>
      </w:numPr>
      <w:spacing w:before="40" w:after="0" w:line="240" w:lineRule="auto"/>
      <w:outlineLvl w:val="3"/>
    </w:pPr>
    <w:rPr>
      <w:rFonts w:asciiTheme="majorHAnsi" w:eastAsiaTheme="majorEastAsia" w:hAnsiTheme="majorHAnsi" w:cstheme="majorBidi"/>
      <w:i/>
      <w:iCs/>
      <w:color w:val="365F91" w:themeColor="accent1" w:themeShade="BF"/>
      <w:sz w:val="24"/>
      <w:szCs w:val="24"/>
    </w:rPr>
  </w:style>
  <w:style w:type="paragraph" w:styleId="Heading5">
    <w:name w:val="heading 5"/>
    <w:basedOn w:val="Normal"/>
    <w:next w:val="Normal"/>
    <w:link w:val="Heading5Char"/>
    <w:uiPriority w:val="9"/>
    <w:semiHidden/>
    <w:unhideWhenUsed/>
    <w:qFormat/>
    <w:locked/>
    <w:rsid w:val="00346916"/>
    <w:pPr>
      <w:keepNext/>
      <w:keepLines/>
      <w:numPr>
        <w:ilvl w:val="4"/>
        <w:numId w:val="1"/>
      </w:numPr>
      <w:spacing w:before="40" w:after="0" w:line="240" w:lineRule="auto"/>
      <w:outlineLvl w:val="4"/>
    </w:pPr>
    <w:rPr>
      <w:rFonts w:asciiTheme="majorHAnsi" w:eastAsiaTheme="majorEastAsia" w:hAnsiTheme="majorHAnsi" w:cstheme="majorBidi"/>
      <w:color w:val="365F91" w:themeColor="accent1" w:themeShade="BF"/>
      <w:sz w:val="24"/>
      <w:szCs w:val="24"/>
    </w:rPr>
  </w:style>
  <w:style w:type="paragraph" w:styleId="Heading6">
    <w:name w:val="heading 6"/>
    <w:basedOn w:val="Normal"/>
    <w:next w:val="Normal"/>
    <w:link w:val="Heading6Char"/>
    <w:uiPriority w:val="9"/>
    <w:semiHidden/>
    <w:unhideWhenUsed/>
    <w:qFormat/>
    <w:locked/>
    <w:rsid w:val="00346916"/>
    <w:pPr>
      <w:keepNext/>
      <w:keepLines/>
      <w:numPr>
        <w:ilvl w:val="5"/>
        <w:numId w:val="1"/>
      </w:numPr>
      <w:spacing w:before="40" w:after="0" w:line="240" w:lineRule="auto"/>
      <w:outlineLvl w:val="5"/>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locked/>
    <w:rsid w:val="00346916"/>
    <w:pPr>
      <w:keepNext/>
      <w:keepLines/>
      <w:numPr>
        <w:ilvl w:val="6"/>
        <w:numId w:val="1"/>
      </w:numPr>
      <w:spacing w:before="40" w:after="0" w:line="240" w:lineRule="auto"/>
      <w:outlineLvl w:val="6"/>
    </w:pPr>
    <w:rPr>
      <w:rFonts w:asciiTheme="majorHAnsi" w:eastAsiaTheme="majorEastAsia" w:hAnsiTheme="majorHAnsi" w:cstheme="majorBidi"/>
      <w:i/>
      <w:iCs/>
      <w:color w:val="243F60" w:themeColor="accent1" w:themeShade="7F"/>
      <w:sz w:val="24"/>
      <w:szCs w:val="24"/>
    </w:rPr>
  </w:style>
  <w:style w:type="paragraph" w:styleId="Heading8">
    <w:name w:val="heading 8"/>
    <w:basedOn w:val="Normal"/>
    <w:next w:val="Normal"/>
    <w:link w:val="Heading8Char"/>
    <w:uiPriority w:val="9"/>
    <w:semiHidden/>
    <w:unhideWhenUsed/>
    <w:qFormat/>
    <w:locked/>
    <w:rsid w:val="00346916"/>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346916"/>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91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34691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4691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4691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346916"/>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346916"/>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346916"/>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34691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46916"/>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177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56F"/>
  </w:style>
  <w:style w:type="paragraph" w:styleId="Footer">
    <w:name w:val="footer"/>
    <w:basedOn w:val="Normal"/>
    <w:link w:val="FooterChar"/>
    <w:uiPriority w:val="99"/>
    <w:unhideWhenUsed/>
    <w:rsid w:val="00177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15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463</Words>
  <Characters>2559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AEJI Conference</vt:lpstr>
    </vt:vector>
  </TitlesOfParts>
  <Company>Los Angeles Superior Court</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AEJI Conference</dc:title>
  <dc:subject/>
  <dc:creator>Judge Brian M. Hoffstadt</dc:creator>
  <cp:keywords/>
  <dc:description/>
  <cp:lastModifiedBy>Ann Yandian</cp:lastModifiedBy>
  <cp:revision>2</cp:revision>
  <cp:lastPrinted>2014-05-08T13:58:00Z</cp:lastPrinted>
  <dcterms:created xsi:type="dcterms:W3CDTF">2017-09-14T19:46:00Z</dcterms:created>
  <dcterms:modified xsi:type="dcterms:W3CDTF">2017-09-14T19:46:00Z</dcterms:modified>
</cp:coreProperties>
</file>