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2A" w:rsidRPr="003B7F37" w:rsidRDefault="003B7F37">
      <w:pPr>
        <w:widowControl/>
        <w:spacing w:line="275" w:lineRule="auto"/>
        <w:jc w:val="center"/>
        <w:rPr>
          <w:rFonts w:ascii="Arial" w:eastAsia="MingLiU-ExtB" w:hAnsi="Arial" w:cs="Arial"/>
          <w:b/>
          <w:bCs/>
          <w:i/>
          <w:iCs/>
        </w:rPr>
      </w:pPr>
      <w:r>
        <w:rPr>
          <w:rFonts w:ascii="Arial" w:eastAsia="MingLiU-ExtB" w:hAnsi="Arial" w:cs="Arial"/>
          <w:b/>
          <w:bCs/>
          <w:i/>
          <w:iCs/>
        </w:rPr>
        <w:t>AJEI</w:t>
      </w:r>
      <w:r w:rsidR="00ED592A" w:rsidRPr="003B7F37">
        <w:rPr>
          <w:rFonts w:ascii="Arial" w:eastAsia="MingLiU-ExtB" w:hAnsi="Arial" w:cs="Arial"/>
          <w:b/>
          <w:bCs/>
          <w:i/>
          <w:iCs/>
        </w:rPr>
        <w:t xml:space="preserve"> Conference</w:t>
      </w:r>
    </w:p>
    <w:p w:rsidR="00ED592A" w:rsidRPr="003B7F37" w:rsidRDefault="00ED592A">
      <w:pPr>
        <w:widowControl/>
        <w:spacing w:line="275" w:lineRule="auto"/>
        <w:jc w:val="center"/>
        <w:rPr>
          <w:rFonts w:ascii="Arial" w:eastAsia="MingLiU-ExtB" w:hAnsi="Arial" w:cs="Arial"/>
          <w:b/>
          <w:bCs/>
          <w:i/>
          <w:iCs/>
        </w:rPr>
      </w:pPr>
      <w:r w:rsidRPr="003B7F37">
        <w:rPr>
          <w:rFonts w:ascii="Arial" w:eastAsia="MingLiU-ExtB" w:hAnsi="Arial" w:cs="Arial"/>
          <w:b/>
          <w:bCs/>
        </w:rPr>
        <w:t>“To Concur or Dissent: That is The Question” Panel Discussion</w:t>
      </w:r>
    </w:p>
    <w:p w:rsidR="00ED592A" w:rsidRPr="003B7F37" w:rsidRDefault="00ED592A">
      <w:pPr>
        <w:widowControl/>
        <w:jc w:val="center"/>
        <w:rPr>
          <w:rFonts w:ascii="Arial" w:eastAsia="MingLiU-ExtB" w:hAnsi="Arial" w:cs="Arial"/>
          <w:b/>
          <w:bCs/>
        </w:rPr>
      </w:pPr>
      <w:r w:rsidRPr="003B7F37">
        <w:rPr>
          <w:rFonts w:ascii="Arial" w:eastAsia="MingLiU-ExtB" w:hAnsi="Arial" w:cs="Arial"/>
        </w:rPr>
        <w:fldChar w:fldCharType="begin"/>
      </w:r>
      <w:r w:rsidRPr="003B7F37">
        <w:rPr>
          <w:rFonts w:ascii="Arial" w:eastAsia="MingLiU-ExtB" w:hAnsi="Arial" w:cs="Arial"/>
        </w:rPr>
        <w:instrText>ADVANCE \d4</w:instrText>
      </w:r>
      <w:r w:rsidRPr="003B7F37">
        <w:rPr>
          <w:rFonts w:ascii="Arial" w:eastAsia="MingLiU-ExtB" w:hAnsi="Arial" w:cs="Arial"/>
        </w:rPr>
        <w:fldChar w:fldCharType="end"/>
      </w:r>
      <w:r w:rsidRPr="003B7F37">
        <w:rPr>
          <w:rFonts w:ascii="Arial" w:eastAsia="MingLiU-ExtB" w:hAnsi="Arial" w:cs="Arial"/>
          <w:b/>
          <w:bCs/>
        </w:rPr>
        <w:t>Saturday, November 4, 3:</w:t>
      </w:r>
      <w:r w:rsidR="003B7F37">
        <w:rPr>
          <w:rFonts w:ascii="Arial" w:eastAsia="MingLiU-ExtB" w:hAnsi="Arial" w:cs="Arial"/>
          <w:b/>
          <w:bCs/>
        </w:rPr>
        <w:t>45-4:45 p.m.</w:t>
      </w:r>
    </w:p>
    <w:p w:rsidR="00ED592A" w:rsidRPr="003B7F37" w:rsidRDefault="00ED592A">
      <w:pPr>
        <w:widowControl/>
        <w:jc w:val="center"/>
        <w:rPr>
          <w:rFonts w:ascii="Arial" w:eastAsia="MingLiU-ExtB" w:hAnsi="Arial" w:cs="Arial"/>
        </w:rPr>
      </w:pPr>
    </w:p>
    <w:p w:rsidR="00ED592A" w:rsidRPr="003B7F37" w:rsidRDefault="00ED592A">
      <w:pPr>
        <w:widowControl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  <w:i/>
          <w:iCs/>
        </w:rPr>
        <w:t>Participants</w:t>
      </w:r>
      <w:r w:rsidR="003B7F37">
        <w:rPr>
          <w:rFonts w:ascii="Arial" w:eastAsia="MingLiU-ExtB" w:hAnsi="Arial" w:cs="Arial"/>
          <w:i/>
          <w:iCs/>
        </w:rPr>
        <w:t>:</w:t>
      </w:r>
    </w:p>
    <w:p w:rsidR="00ED592A" w:rsidRPr="003B7F37" w:rsidRDefault="00ED592A">
      <w:pPr>
        <w:widowControl/>
        <w:ind w:left="72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Presiding Justice Dennis M. </w:t>
      </w:r>
      <w:proofErr w:type="spellStart"/>
      <w:r w:rsidRPr="003B7F37">
        <w:rPr>
          <w:rFonts w:ascii="Arial" w:eastAsia="MingLiU-ExtB" w:hAnsi="Arial" w:cs="Arial"/>
        </w:rPr>
        <w:t>Perluss</w:t>
      </w:r>
      <w:proofErr w:type="spellEnd"/>
      <w:r w:rsidRPr="003B7F37">
        <w:rPr>
          <w:rFonts w:ascii="Arial" w:eastAsia="MingLiU-ExtB" w:hAnsi="Arial" w:cs="Arial"/>
        </w:rPr>
        <w:t xml:space="preserve">, California Second District Court of Appeal  </w:t>
      </w:r>
    </w:p>
    <w:p w:rsidR="00ED592A" w:rsidRPr="003B7F37" w:rsidRDefault="00ED592A">
      <w:pPr>
        <w:widowControl/>
        <w:ind w:left="72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>Prof. Elizabeth Francis, University of Nevada, Reno</w:t>
      </w:r>
    </w:p>
    <w:p w:rsidR="00ED592A" w:rsidRPr="003B7F37" w:rsidRDefault="003B7F37">
      <w:pPr>
        <w:ind w:left="720"/>
        <w:rPr>
          <w:rFonts w:ascii="Arial" w:eastAsia="MingLiU-ExtB" w:hAnsi="Arial" w:cs="Arial"/>
        </w:rPr>
      </w:pPr>
      <w:r>
        <w:rPr>
          <w:rFonts w:ascii="Arial" w:eastAsia="MingLiU-ExtB" w:hAnsi="Arial" w:cs="Arial"/>
        </w:rPr>
        <w:t xml:space="preserve">Prof. </w:t>
      </w:r>
      <w:r w:rsidR="00ED592A" w:rsidRPr="003B7F37">
        <w:rPr>
          <w:rFonts w:ascii="Arial" w:eastAsia="MingLiU-ExtB" w:hAnsi="Arial" w:cs="Arial"/>
        </w:rPr>
        <w:t xml:space="preserve">Harry </w:t>
      </w:r>
      <w:proofErr w:type="spellStart"/>
      <w:r w:rsidR="00ED592A" w:rsidRPr="003B7F37">
        <w:rPr>
          <w:rFonts w:ascii="Arial" w:eastAsia="MingLiU-ExtB" w:hAnsi="Arial" w:cs="Arial"/>
        </w:rPr>
        <w:t>Litman</w:t>
      </w:r>
      <w:proofErr w:type="spellEnd"/>
      <w:r w:rsidR="00ED592A" w:rsidRPr="003B7F37">
        <w:rPr>
          <w:rFonts w:ascii="Arial" w:eastAsia="MingLiU-ExtB" w:hAnsi="Arial" w:cs="Arial"/>
        </w:rPr>
        <w:t>. Esq., UCLA School of Law</w:t>
      </w:r>
    </w:p>
    <w:p w:rsidR="00ED592A" w:rsidRPr="003B7F37" w:rsidRDefault="00ED592A">
      <w:pPr>
        <w:ind w:left="72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>Presiding Judge Christopher J. McFadden, Court of Appeals of Georgia (moderator)</w:t>
      </w:r>
    </w:p>
    <w:p w:rsidR="00ED592A" w:rsidRPr="003B7F37" w:rsidRDefault="00ED592A">
      <w:pPr>
        <w:widowControl/>
        <w:rPr>
          <w:rFonts w:ascii="Arial" w:eastAsia="MingLiU-ExtB" w:hAnsi="Arial" w:cs="Arial"/>
        </w:rPr>
      </w:pPr>
    </w:p>
    <w:p w:rsidR="00ED592A" w:rsidRPr="003B7F37" w:rsidRDefault="00ED592A">
      <w:pPr>
        <w:widowControl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  <w:i/>
          <w:iCs/>
        </w:rPr>
        <w:t>Learning Objectives</w:t>
      </w:r>
      <w:r w:rsidR="003B7F37">
        <w:rPr>
          <w:rFonts w:ascii="Arial" w:eastAsia="MingLiU-ExtB" w:hAnsi="Arial" w:cs="Arial"/>
          <w:i/>
          <w:iCs/>
        </w:rPr>
        <w:t>:</w:t>
      </w:r>
    </w:p>
    <w:p w:rsidR="00ED592A" w:rsidRPr="003B7F37" w:rsidRDefault="00ED592A">
      <w:pPr>
        <w:ind w:firstLine="72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A normative discussion of separate writings, addressing the decisions to write and what to write. </w:t>
      </w:r>
    </w:p>
    <w:p w:rsidR="00ED592A" w:rsidRPr="003B7F37" w:rsidRDefault="00ED592A">
      <w:pPr>
        <w:rPr>
          <w:rFonts w:ascii="Arial" w:eastAsia="MingLiU-ExtB" w:hAnsi="Arial" w:cs="Arial"/>
        </w:rPr>
      </w:pPr>
    </w:p>
    <w:p w:rsidR="00ED592A" w:rsidRPr="003B7F37" w:rsidRDefault="003B7F37">
      <w:pPr>
        <w:rPr>
          <w:rFonts w:ascii="Arial" w:eastAsia="MingLiU-ExtB" w:hAnsi="Arial" w:cs="Arial"/>
        </w:rPr>
      </w:pPr>
      <w:r>
        <w:rPr>
          <w:rFonts w:ascii="Arial" w:eastAsia="MingLiU-ExtB" w:hAnsi="Arial" w:cs="Arial"/>
          <w:i/>
          <w:iCs/>
        </w:rPr>
        <w:t>Topical outline:</w:t>
      </w:r>
      <w:bookmarkStart w:id="0" w:name="_GoBack"/>
      <w:bookmarkEnd w:id="0"/>
    </w:p>
    <w:p w:rsidR="00ED592A" w:rsidRPr="003B7F37" w:rsidRDefault="00ED592A">
      <w:pPr>
        <w:ind w:firstLine="72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The decision to write separately 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Purpose 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Reasons to write, and not to write 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Incentives to write, and not to write 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Persuasiveness to other judges 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>Other objectives</w:t>
      </w:r>
    </w:p>
    <w:p w:rsidR="00ED592A" w:rsidRPr="003B7F37" w:rsidRDefault="00ED592A">
      <w:pPr>
        <w:ind w:firstLine="72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What to write 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>Tone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Norms 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Language and rhetorical choices 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Various criteria for distinguishing passable from good and good from excellent </w:t>
      </w:r>
    </w:p>
    <w:p w:rsidR="00ED592A" w:rsidRPr="003B7F37" w:rsidRDefault="00ED592A">
      <w:pPr>
        <w:ind w:firstLine="72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Influence of separate writings 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Within the court 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>Other courts</w:t>
      </w:r>
    </w:p>
    <w:p w:rsidR="00ED592A" w:rsidRPr="003B7F37" w:rsidRDefault="00ED592A">
      <w:pPr>
        <w:ind w:firstLine="1440"/>
        <w:rPr>
          <w:rFonts w:ascii="Arial" w:eastAsia="MingLiU-ExtB" w:hAnsi="Arial" w:cs="Arial"/>
        </w:rPr>
      </w:pPr>
      <w:r w:rsidRPr="003B7F37">
        <w:rPr>
          <w:rFonts w:ascii="Arial" w:eastAsia="MingLiU-ExtB" w:hAnsi="Arial" w:cs="Arial"/>
        </w:rPr>
        <w:t xml:space="preserve">The public: effect on the judiciary’s image </w:t>
      </w:r>
    </w:p>
    <w:p w:rsidR="00ED592A" w:rsidRPr="003B7F37" w:rsidRDefault="00ED592A">
      <w:pPr>
        <w:rPr>
          <w:rFonts w:ascii="Arial" w:eastAsia="MingLiU-ExtB" w:hAnsi="Arial" w:cs="Arial"/>
        </w:rPr>
      </w:pPr>
    </w:p>
    <w:p w:rsidR="00ED592A" w:rsidRPr="003B7F37" w:rsidRDefault="00ED592A">
      <w:pPr>
        <w:rPr>
          <w:rFonts w:ascii="Arial" w:eastAsia="MingLiU-ExtB" w:hAnsi="Arial" w:cs="Arial"/>
        </w:rPr>
      </w:pPr>
    </w:p>
    <w:p w:rsidR="00ED592A" w:rsidRPr="003B7F37" w:rsidRDefault="00ED592A">
      <w:pPr>
        <w:rPr>
          <w:rFonts w:ascii="Arial" w:hAnsi="Arial" w:cs="Arial"/>
        </w:rPr>
      </w:pPr>
    </w:p>
    <w:sectPr w:rsidR="00ED592A" w:rsidRPr="003B7F37" w:rsidSect="003B7F37">
      <w:pgSz w:w="12240" w:h="15840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2A"/>
    <w:rsid w:val="003B7F37"/>
    <w:rsid w:val="00E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B95A2"/>
  <w14:defaultImageDpi w14:val="0"/>
  <w15:docId w15:val="{F4833972-D516-40E3-8AEF-75BFA243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Yandian</dc:creator>
  <cp:keywords/>
  <dc:description/>
  <cp:lastModifiedBy>Ann Yandian</cp:lastModifiedBy>
  <cp:revision>2</cp:revision>
  <dcterms:created xsi:type="dcterms:W3CDTF">2017-08-07T20:54:00Z</dcterms:created>
  <dcterms:modified xsi:type="dcterms:W3CDTF">2017-08-07T20:54:00Z</dcterms:modified>
</cp:coreProperties>
</file>