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AC62" w14:textId="77777777" w:rsidR="00610156" w:rsidRPr="0052717A" w:rsidRDefault="00610156" w:rsidP="00610156">
      <w:pPr>
        <w:jc w:val="center"/>
        <w:rPr>
          <w:rFonts w:ascii="Century Schoolbook" w:hAnsi="Century Schoolbook" w:cstheme="majorBidi"/>
          <w:b/>
          <w:bCs/>
        </w:rPr>
      </w:pPr>
    </w:p>
    <w:p w14:paraId="018C0239" w14:textId="77777777" w:rsidR="00610156" w:rsidRPr="0052717A" w:rsidRDefault="00610156" w:rsidP="00610156">
      <w:pPr>
        <w:jc w:val="both"/>
        <w:rPr>
          <w:rFonts w:ascii="Century Schoolbook" w:hAnsi="Century Schoolbook"/>
        </w:rPr>
      </w:pPr>
    </w:p>
    <w:p w14:paraId="733DF748" w14:textId="77777777" w:rsidR="00610156" w:rsidRPr="00750975" w:rsidRDefault="00CA3C6F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750975">
        <w:rPr>
          <w:rFonts w:ascii="Century Schoolbook" w:hAnsi="Century Schoolbook"/>
          <w:b/>
          <w:smallCaps/>
          <w:sz w:val="28"/>
          <w:szCs w:val="28"/>
        </w:rPr>
        <w:t>CALL FOR PUBLIC COMMENT</w:t>
      </w:r>
    </w:p>
    <w:p w14:paraId="2B44764D" w14:textId="0C2BF111" w:rsidR="00610156" w:rsidRPr="00615077" w:rsidRDefault="00615077" w:rsidP="00615077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615077">
        <w:rPr>
          <w:rFonts w:ascii="Century Schoolbook" w:hAnsi="Century Schoolbook"/>
          <w:b/>
          <w:smallCaps/>
          <w:sz w:val="28"/>
          <w:szCs w:val="28"/>
        </w:rPr>
        <w:t>(Draft pending review by team leaders)</w:t>
      </w:r>
    </w:p>
    <w:p w14:paraId="7C7B31A0" w14:textId="77777777" w:rsidR="00610156" w:rsidRPr="00750975" w:rsidRDefault="00610156" w:rsidP="00610156">
      <w:pPr>
        <w:jc w:val="both"/>
        <w:rPr>
          <w:rFonts w:ascii="Century Schoolbook" w:hAnsi="Century Schoolbook"/>
          <w:b/>
          <w:smallCaps/>
        </w:rPr>
      </w:pPr>
    </w:p>
    <w:p w14:paraId="1D2BB62C" w14:textId="77777777" w:rsidR="00610156" w:rsidRPr="00750975" w:rsidRDefault="00610156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</w:p>
    <w:p w14:paraId="30F870F4" w14:textId="77777777" w:rsidR="00610156" w:rsidRPr="00750975" w:rsidRDefault="00CA3C6F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750975">
        <w:rPr>
          <w:rFonts w:ascii="Century Schoolbook" w:hAnsi="Century Schoolbook"/>
          <w:b/>
          <w:smallCaps/>
          <w:sz w:val="28"/>
          <w:szCs w:val="28"/>
        </w:rPr>
        <w:t>STANDARDS AND BEST PRACTICES</w:t>
      </w:r>
    </w:p>
    <w:p w14:paraId="4612189B" w14:textId="77777777" w:rsidR="00610156" w:rsidRPr="00750975" w:rsidRDefault="00CA3C6F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750975">
        <w:rPr>
          <w:rFonts w:ascii="Century Schoolbook" w:hAnsi="Century Schoolbook"/>
          <w:b/>
          <w:smallCaps/>
          <w:sz w:val="28"/>
          <w:szCs w:val="28"/>
        </w:rPr>
        <w:t>FOR LARGE AND MASS-TORT MDLS</w:t>
      </w:r>
    </w:p>
    <w:p w14:paraId="3F46D597" w14:textId="23D45CB8" w:rsidR="00610156" w:rsidRDefault="00CA3C6F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750975">
        <w:rPr>
          <w:rFonts w:ascii="Century Schoolbook" w:hAnsi="Century Schoolbook"/>
          <w:b/>
          <w:smallCaps/>
          <w:sz w:val="28"/>
          <w:szCs w:val="28"/>
        </w:rPr>
        <w:t>BOLCH JUDICIAL INSTITUTE, DUKE LAW SCHOOL</w:t>
      </w:r>
    </w:p>
    <w:p w14:paraId="24F5C222" w14:textId="597F2080" w:rsidR="00AD3E38" w:rsidRDefault="00AD3E38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>
        <w:rPr>
          <w:rFonts w:ascii="Century Schoolbook" w:hAnsi="Century Schoolbook"/>
          <w:b/>
          <w:smallCaps/>
          <w:sz w:val="28"/>
          <w:szCs w:val="28"/>
        </w:rPr>
        <w:t>Executive Summary</w:t>
      </w:r>
    </w:p>
    <w:p w14:paraId="1B7CCF2F" w14:textId="2650B046" w:rsidR="00610156" w:rsidRDefault="007F0D90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750975">
        <w:rPr>
          <w:rFonts w:ascii="Century Schoolbook" w:hAnsi="Century Schoolbook"/>
          <w:b/>
          <w:smallCaps/>
          <w:sz w:val="28"/>
          <w:szCs w:val="28"/>
        </w:rPr>
        <w:t xml:space="preserve"> </w:t>
      </w:r>
      <w:r w:rsidR="00CA3C6F" w:rsidRPr="00750975">
        <w:rPr>
          <w:rFonts w:ascii="Century Schoolbook" w:hAnsi="Century Schoolbook"/>
          <w:b/>
          <w:smallCaps/>
          <w:sz w:val="28"/>
          <w:szCs w:val="28"/>
        </w:rPr>
        <w:t>(Updating December 19, 2014, Report)</w:t>
      </w:r>
    </w:p>
    <w:p w14:paraId="3CDB9AAC" w14:textId="77777777" w:rsidR="00615077" w:rsidRPr="00750975" w:rsidRDefault="00615077" w:rsidP="00610156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</w:p>
    <w:p w14:paraId="1E2502F0" w14:textId="77777777" w:rsidR="00610156" w:rsidRPr="00750975" w:rsidRDefault="00610156" w:rsidP="00610156">
      <w:pPr>
        <w:jc w:val="both"/>
        <w:rPr>
          <w:rFonts w:ascii="Century Schoolbook" w:hAnsi="Century Schoolbook"/>
          <w:b/>
          <w:smallCaps/>
        </w:rPr>
      </w:pPr>
    </w:p>
    <w:p w14:paraId="0CEE61E5" w14:textId="77777777" w:rsidR="00610156" w:rsidRDefault="00610156" w:rsidP="00610156">
      <w:pPr>
        <w:jc w:val="both"/>
        <w:rPr>
          <w:rFonts w:ascii="Century Schoolbook" w:hAnsi="Century Schoolbook"/>
        </w:rPr>
      </w:pPr>
    </w:p>
    <w:p w14:paraId="302E4437" w14:textId="77777777" w:rsidR="00610156" w:rsidRDefault="00610156" w:rsidP="00610156">
      <w:pPr>
        <w:jc w:val="both"/>
        <w:rPr>
          <w:rFonts w:ascii="Century Schoolbook" w:hAnsi="Century Schoolbook"/>
        </w:rPr>
      </w:pPr>
    </w:p>
    <w:p w14:paraId="79FBCA65" w14:textId="77777777" w:rsidR="00610156" w:rsidRDefault="00610156" w:rsidP="00610156">
      <w:pPr>
        <w:jc w:val="both"/>
        <w:rPr>
          <w:rFonts w:ascii="Century Schoolbook" w:hAnsi="Century Schoolbook"/>
        </w:rPr>
      </w:pPr>
    </w:p>
    <w:p w14:paraId="4B906B6B" w14:textId="77777777" w:rsidR="00610156" w:rsidRPr="0052717A" w:rsidRDefault="00610156" w:rsidP="00610156">
      <w:pPr>
        <w:jc w:val="both"/>
        <w:rPr>
          <w:rFonts w:ascii="Century Schoolbook" w:hAnsi="Century Schoolbook"/>
        </w:rPr>
      </w:pPr>
    </w:p>
    <w:p w14:paraId="7E75C2E8" w14:textId="77777777" w:rsidR="00610156" w:rsidRPr="0052717A" w:rsidRDefault="00610156" w:rsidP="00610156">
      <w:pPr>
        <w:jc w:val="both"/>
        <w:rPr>
          <w:rFonts w:ascii="Century Schoolbook" w:hAnsi="Century Schoolbook"/>
        </w:rPr>
      </w:pPr>
    </w:p>
    <w:p w14:paraId="06C332B9" w14:textId="77777777" w:rsidR="00610156" w:rsidRPr="0052717A" w:rsidRDefault="00610156" w:rsidP="00610156">
      <w:pPr>
        <w:jc w:val="both"/>
        <w:rPr>
          <w:rFonts w:ascii="Century Schoolbook" w:hAnsi="Century Schoolbook"/>
        </w:rPr>
      </w:pPr>
    </w:p>
    <w:p w14:paraId="097DA12D" w14:textId="77777777" w:rsidR="00610156" w:rsidRDefault="00610156" w:rsidP="00610156">
      <w:pPr>
        <w:jc w:val="both"/>
        <w:rPr>
          <w:rFonts w:ascii="Century Schoolbook" w:hAnsi="Century Schoolbook"/>
        </w:rPr>
      </w:pPr>
    </w:p>
    <w:p w14:paraId="339CF724" w14:textId="77777777" w:rsidR="00610156" w:rsidRDefault="00610156" w:rsidP="00610156">
      <w:pPr>
        <w:jc w:val="both"/>
        <w:rPr>
          <w:rFonts w:ascii="Century Schoolbook" w:hAnsi="Century Schoolbook"/>
        </w:rPr>
      </w:pPr>
    </w:p>
    <w:p w14:paraId="27C1F7F9" w14:textId="77777777" w:rsidR="00610156" w:rsidRPr="0052717A" w:rsidRDefault="00610156" w:rsidP="00610156">
      <w:pPr>
        <w:jc w:val="both"/>
        <w:rPr>
          <w:rFonts w:ascii="Century Schoolbook" w:hAnsi="Century Schoolbook"/>
        </w:rPr>
      </w:pPr>
    </w:p>
    <w:p w14:paraId="5752C168" w14:textId="77777777" w:rsidR="00610156" w:rsidRPr="0052717A" w:rsidRDefault="00610156" w:rsidP="00610156">
      <w:pPr>
        <w:jc w:val="both"/>
        <w:rPr>
          <w:rFonts w:ascii="Century Schoolbook" w:hAnsi="Century Schoolbook"/>
        </w:rPr>
      </w:pPr>
    </w:p>
    <w:p w14:paraId="1CD2843B" w14:textId="77777777" w:rsidR="00610156" w:rsidRPr="0052717A" w:rsidRDefault="00610156" w:rsidP="00610156">
      <w:pPr>
        <w:jc w:val="both"/>
        <w:rPr>
          <w:rFonts w:ascii="Century Schoolbook" w:hAnsi="Century Schoolbook"/>
        </w:rPr>
      </w:pPr>
    </w:p>
    <w:p w14:paraId="53278FEB" w14:textId="77777777" w:rsidR="00610156" w:rsidRDefault="00CA3C6F" w:rsidP="00610156">
      <w:pPr>
        <w:pStyle w:val="NoSpacing"/>
        <w:jc w:val="both"/>
        <w:rPr>
          <w:rFonts w:ascii="Century Schoolbook" w:hAnsi="Century Schoolbook"/>
        </w:rPr>
      </w:pP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</w:p>
    <w:p w14:paraId="2FC904F6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4DD01BFF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43CEDC2E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71E1A2AE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203F2023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30C0B303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6BA03AD3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7CFDAE74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2B1A9772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3630BB45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068D0B27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6BF19CC6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4658A9E4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527A79B3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3F9BBB1E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546647BD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72DAEF54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541C6944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60FF4A5D" w14:textId="77777777" w:rsidR="00610156" w:rsidRDefault="00610156" w:rsidP="00610156">
      <w:pPr>
        <w:pStyle w:val="NoSpacing"/>
        <w:jc w:val="both"/>
        <w:rPr>
          <w:rFonts w:ascii="Century Schoolbook" w:hAnsi="Century Schoolbook"/>
        </w:rPr>
      </w:pPr>
    </w:p>
    <w:p w14:paraId="3CD4CADF" w14:textId="77777777" w:rsidR="00610156" w:rsidRPr="0052717A" w:rsidRDefault="00CA3C6F" w:rsidP="00610156">
      <w:pPr>
        <w:pStyle w:val="NoSpacing"/>
        <w:ind w:left="648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Duke Law School</w:t>
      </w:r>
    </w:p>
    <w:p w14:paraId="4A7794DE" w14:textId="7AB48410" w:rsidR="00610156" w:rsidRPr="0052717A" w:rsidRDefault="00CA3C6F" w:rsidP="00610156">
      <w:pPr>
        <w:pStyle w:val="NoSpacing"/>
        <w:jc w:val="both"/>
        <w:rPr>
          <w:rFonts w:ascii="Century Schoolbook" w:hAnsi="Century Schoolbook"/>
        </w:rPr>
      </w:pP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 w:rsidRPr="0052717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15077">
        <w:rPr>
          <w:rFonts w:ascii="Century Schoolbook" w:hAnsi="Century Schoolbook"/>
        </w:rPr>
        <w:t>April 23</w:t>
      </w:r>
      <w:r w:rsidRPr="0052717A">
        <w:rPr>
          <w:rFonts w:ascii="Century Schoolbook" w:hAnsi="Century Schoolbook"/>
        </w:rPr>
        <w:t>, 2018</w:t>
      </w:r>
    </w:p>
    <w:p w14:paraId="534AA2F0" w14:textId="77777777" w:rsidR="00610156" w:rsidRDefault="00610156" w:rsidP="00610156">
      <w:pPr>
        <w:pStyle w:val="NoSpacing"/>
        <w:jc w:val="center"/>
        <w:rPr>
          <w:rFonts w:ascii="Century Schoolbook" w:hAnsi="Century Schoolbook"/>
          <w:b/>
          <w:smallCaps/>
          <w:sz w:val="32"/>
          <w:szCs w:val="32"/>
        </w:rPr>
        <w:sectPr w:rsidR="00610156" w:rsidSect="006101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7159AFBF" w14:textId="77777777" w:rsidR="00610156" w:rsidRPr="00573FA5" w:rsidRDefault="00CA3C6F" w:rsidP="00610156">
      <w:pPr>
        <w:pStyle w:val="NoSpacing"/>
        <w:jc w:val="center"/>
        <w:rPr>
          <w:rFonts w:ascii="Century Schoolbook" w:hAnsi="Century Schoolbook"/>
          <w:b/>
          <w:smallCaps/>
          <w:sz w:val="32"/>
          <w:szCs w:val="32"/>
        </w:rPr>
      </w:pPr>
      <w:r>
        <w:rPr>
          <w:rFonts w:ascii="Century Schoolbook" w:hAnsi="Century Schoolbook"/>
          <w:b/>
          <w:smallCaps/>
          <w:sz w:val="32"/>
          <w:szCs w:val="32"/>
        </w:rPr>
        <w:t>S</w:t>
      </w:r>
      <w:r w:rsidRPr="00573FA5">
        <w:rPr>
          <w:rFonts w:ascii="Century Schoolbook" w:hAnsi="Century Schoolbook"/>
          <w:b/>
          <w:smallCaps/>
          <w:sz w:val="32"/>
          <w:szCs w:val="32"/>
        </w:rPr>
        <w:t>TANDARDS AND BEST PRACTICES</w:t>
      </w:r>
    </w:p>
    <w:p w14:paraId="18B81512" w14:textId="77777777" w:rsidR="00610156" w:rsidRPr="00573FA5" w:rsidRDefault="00CA3C6F" w:rsidP="00610156">
      <w:pPr>
        <w:pStyle w:val="NoSpacing"/>
        <w:jc w:val="center"/>
        <w:rPr>
          <w:rFonts w:ascii="Century Schoolbook" w:hAnsi="Century Schoolbook"/>
          <w:b/>
          <w:smallCaps/>
          <w:sz w:val="32"/>
          <w:szCs w:val="32"/>
        </w:rPr>
      </w:pPr>
      <w:r w:rsidRPr="00573FA5">
        <w:rPr>
          <w:rFonts w:ascii="Century Schoolbook" w:hAnsi="Century Schoolbook"/>
          <w:b/>
          <w:smallCaps/>
          <w:sz w:val="32"/>
          <w:szCs w:val="32"/>
        </w:rPr>
        <w:t>FOR LARGE AND MASS-TORT MDLS</w:t>
      </w:r>
    </w:p>
    <w:p w14:paraId="351AA762" w14:textId="5725BEF7" w:rsidR="00610156" w:rsidRPr="00573FA5" w:rsidRDefault="00CA3C6F" w:rsidP="007F0D90">
      <w:pPr>
        <w:pStyle w:val="NoSpacing"/>
        <w:spacing w:after="240"/>
        <w:jc w:val="center"/>
        <w:rPr>
          <w:rFonts w:ascii="Century Schoolbook" w:hAnsi="Century Schoolbook"/>
          <w:b/>
          <w:sz w:val="28"/>
          <w:szCs w:val="28"/>
        </w:rPr>
      </w:pPr>
      <w:r w:rsidRPr="00573FA5">
        <w:rPr>
          <w:rFonts w:ascii="Century Schoolbook" w:hAnsi="Century Schoolbook"/>
          <w:b/>
          <w:smallCaps/>
          <w:sz w:val="28"/>
          <w:szCs w:val="28"/>
        </w:rPr>
        <w:t>March 2018</w:t>
      </w:r>
    </w:p>
    <w:p w14:paraId="5A942A8C" w14:textId="77777777" w:rsidR="00610156" w:rsidRPr="00573FA5" w:rsidRDefault="00CA3C6F" w:rsidP="00610156">
      <w:pPr>
        <w:pStyle w:val="NoSpacing"/>
        <w:jc w:val="center"/>
        <w:rPr>
          <w:rFonts w:ascii="Century Schoolbook" w:hAnsi="Century Schoolbook"/>
          <w:b/>
          <w:sz w:val="24"/>
          <w:szCs w:val="24"/>
        </w:rPr>
      </w:pPr>
      <w:r w:rsidRPr="00573FA5">
        <w:rPr>
          <w:rFonts w:ascii="Century Schoolbook" w:hAnsi="Century Schoolbook"/>
          <w:b/>
          <w:sz w:val="24"/>
          <w:szCs w:val="24"/>
        </w:rPr>
        <w:t>(Updating and Revising December 2014 MDL</w:t>
      </w:r>
    </w:p>
    <w:p w14:paraId="013135CC" w14:textId="77777777" w:rsidR="00610156" w:rsidRPr="00573FA5" w:rsidRDefault="00CA3C6F" w:rsidP="00610156">
      <w:pPr>
        <w:pStyle w:val="NoSpacing"/>
        <w:jc w:val="center"/>
        <w:rPr>
          <w:rFonts w:ascii="Century Schoolbook" w:hAnsi="Century Schoolbook"/>
          <w:b/>
          <w:sz w:val="24"/>
          <w:szCs w:val="24"/>
        </w:rPr>
      </w:pPr>
      <w:r w:rsidRPr="00573FA5">
        <w:rPr>
          <w:rFonts w:ascii="Century Schoolbook" w:hAnsi="Century Schoolbook"/>
          <w:b/>
          <w:sz w:val="24"/>
          <w:szCs w:val="24"/>
        </w:rPr>
        <w:t>Standards and Best Practices)</w:t>
      </w:r>
    </w:p>
    <w:p w14:paraId="57E98D07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i/>
          <w:smallCaps/>
          <w:sz w:val="24"/>
          <w:szCs w:val="24"/>
        </w:rPr>
      </w:pPr>
    </w:p>
    <w:p w14:paraId="35D42F0B" w14:textId="77777777" w:rsidR="00610156" w:rsidRPr="004A00C1" w:rsidRDefault="00CA3C6F" w:rsidP="00610156">
      <w:pPr>
        <w:ind w:left="720" w:right="720"/>
        <w:contextualSpacing/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4A00C1">
        <w:rPr>
          <w:rFonts w:ascii="Century Schoolbook" w:hAnsi="Century Schoolbook"/>
          <w:b/>
          <w:smallCaps/>
          <w:sz w:val="28"/>
          <w:szCs w:val="28"/>
        </w:rPr>
        <w:t>CHAPTER 1</w:t>
      </w:r>
    </w:p>
    <w:p w14:paraId="281D94B6" w14:textId="77777777" w:rsidR="00610156" w:rsidRPr="004A00C1" w:rsidRDefault="00610156" w:rsidP="00610156">
      <w:pPr>
        <w:ind w:left="720" w:right="720"/>
        <w:contextualSpacing/>
        <w:jc w:val="center"/>
        <w:rPr>
          <w:rFonts w:ascii="Century Schoolbook" w:hAnsi="Century Schoolbook"/>
          <w:b/>
          <w:smallCaps/>
          <w:sz w:val="28"/>
          <w:szCs w:val="28"/>
        </w:rPr>
      </w:pPr>
    </w:p>
    <w:p w14:paraId="11DECA2F" w14:textId="77777777" w:rsidR="00610156" w:rsidRPr="004A00C1" w:rsidRDefault="00CA3C6F" w:rsidP="00610156">
      <w:pPr>
        <w:ind w:left="720" w:right="720"/>
        <w:contextualSpacing/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4A00C1">
        <w:rPr>
          <w:rFonts w:ascii="Century Schoolbook" w:hAnsi="Century Schoolbook"/>
          <w:b/>
          <w:smallCaps/>
          <w:sz w:val="28"/>
          <w:szCs w:val="28"/>
        </w:rPr>
        <w:t>MANAGEMENT OF TRANSFERRED CASES</w:t>
      </w:r>
    </w:p>
    <w:p w14:paraId="2AFF2C2A" w14:textId="64C85B41" w:rsidR="00610156" w:rsidRPr="004A00C1" w:rsidRDefault="00CA3C6F" w:rsidP="00610156">
      <w:pPr>
        <w:tabs>
          <w:tab w:val="left" w:pos="1800"/>
        </w:tabs>
        <w:spacing w:before="120"/>
        <w:ind w:left="720" w:right="720"/>
        <w:rPr>
          <w:rFonts w:ascii="Century Schoolbook" w:hAnsi="Century Schoolbook"/>
          <w:sz w:val="24"/>
          <w:szCs w:val="24"/>
        </w:rPr>
      </w:pPr>
      <w:r w:rsidRPr="004A00C1">
        <w:rPr>
          <w:rFonts w:ascii="Century Schoolbook" w:hAnsi="Century Schoolbook"/>
          <w:sz w:val="24"/>
          <w:szCs w:val="24"/>
        </w:rPr>
        <w:t>….</w:t>
      </w:r>
      <w:r w:rsidR="00610156">
        <w:rPr>
          <w:rFonts w:ascii="Century Schoolbook" w:hAnsi="Century Schoolbook"/>
          <w:sz w:val="24"/>
          <w:szCs w:val="24"/>
        </w:rPr>
        <w:t xml:space="preserve"> [</w:t>
      </w:r>
      <w:r w:rsidR="00016696">
        <w:rPr>
          <w:rFonts w:ascii="Century Schoolbook" w:hAnsi="Century Schoolbook"/>
          <w:sz w:val="24"/>
          <w:szCs w:val="24"/>
        </w:rPr>
        <w:t>M</w:t>
      </w:r>
      <w:r w:rsidR="00610156">
        <w:rPr>
          <w:rFonts w:ascii="Century Schoolbook" w:hAnsi="Century Schoolbook"/>
          <w:sz w:val="24"/>
          <w:szCs w:val="24"/>
        </w:rPr>
        <w:t xml:space="preserve">aterial </w:t>
      </w:r>
      <w:r w:rsidR="00016696">
        <w:rPr>
          <w:rFonts w:ascii="Century Schoolbook" w:hAnsi="Century Schoolbook"/>
          <w:sz w:val="24"/>
          <w:szCs w:val="24"/>
        </w:rPr>
        <w:t xml:space="preserve">omitted </w:t>
      </w:r>
      <w:r w:rsidR="00610156">
        <w:rPr>
          <w:rFonts w:ascii="Century Schoolbook" w:hAnsi="Century Schoolbook"/>
          <w:sz w:val="24"/>
          <w:szCs w:val="24"/>
        </w:rPr>
        <w:t>from 2014 MDL Standards and Best Practices.]</w:t>
      </w:r>
    </w:p>
    <w:p w14:paraId="1A4E1EDA" w14:textId="77777777" w:rsidR="00610156" w:rsidRPr="004A00C1" w:rsidRDefault="00CA3C6F" w:rsidP="00610156">
      <w:pPr>
        <w:tabs>
          <w:tab w:val="left" w:pos="1800"/>
        </w:tabs>
        <w:spacing w:before="120"/>
        <w:ind w:left="720" w:right="720"/>
        <w:jc w:val="both"/>
        <w:rPr>
          <w:rFonts w:ascii="Century Schoolbook" w:hAnsi="Century Schoolbook"/>
          <w:sz w:val="24"/>
          <w:szCs w:val="24"/>
        </w:rPr>
      </w:pPr>
      <w:r w:rsidRPr="004A00C1">
        <w:rPr>
          <w:rFonts w:ascii="Century Schoolbook" w:hAnsi="Century Schoolbook"/>
          <w:b/>
          <w:smallCaps/>
          <w:sz w:val="24"/>
          <w:szCs w:val="24"/>
        </w:rPr>
        <w:t>MDL STANDARD 1:</w:t>
      </w:r>
      <w:r w:rsidRPr="004A00C1">
        <w:rPr>
          <w:rFonts w:ascii="Century Schoolbook" w:hAnsi="Century Schoolbook"/>
          <w:b/>
          <w:sz w:val="24"/>
          <w:szCs w:val="24"/>
        </w:rPr>
        <w:t xml:space="preserve"> </w:t>
      </w:r>
      <w:r w:rsidRPr="004A00C1">
        <w:rPr>
          <w:rFonts w:ascii="Century Schoolbook" w:hAnsi="Century Schoolbook"/>
          <w:sz w:val="24"/>
          <w:szCs w:val="24"/>
        </w:rPr>
        <w:t>The transferee court, in consultation with the parties, should articulate clear objectives for the MDL proceeding and a plan for pursuing them. The objectives of an MDL proceeding should usually include: (1) the elimination of duplicative discovery; (2) avoiding conflicting rulings and schedules among courts; (3) reducing litigation costs; (4) saving the time and effort of the parties, attorneys, witnesses, and courts; (5) streamlining key issues; and (6) moving cases toward resolution (by trial, motion practice, or settlement).</w:t>
      </w:r>
    </w:p>
    <w:p w14:paraId="263731D5" w14:textId="088CC101" w:rsidR="00610156" w:rsidRPr="004A00C1" w:rsidRDefault="00CA3C6F" w:rsidP="00610156">
      <w:pPr>
        <w:tabs>
          <w:tab w:val="left" w:pos="1800"/>
        </w:tabs>
        <w:spacing w:before="120"/>
        <w:ind w:left="720" w:right="720"/>
        <w:rPr>
          <w:rFonts w:ascii="Century Schoolbook" w:hAnsi="Century Schoolbook"/>
          <w:sz w:val="24"/>
          <w:szCs w:val="24"/>
        </w:rPr>
      </w:pPr>
      <w:r w:rsidRPr="004A00C1">
        <w:rPr>
          <w:rFonts w:ascii="Century Schoolbook" w:hAnsi="Century Schoolbook"/>
          <w:sz w:val="24"/>
          <w:szCs w:val="24"/>
        </w:rPr>
        <w:t>….</w:t>
      </w:r>
      <w:r w:rsidR="00610156">
        <w:rPr>
          <w:rFonts w:ascii="Century Schoolbook" w:hAnsi="Century Schoolbook"/>
          <w:sz w:val="24"/>
          <w:szCs w:val="24"/>
        </w:rPr>
        <w:t xml:space="preserve"> [</w:t>
      </w:r>
      <w:r w:rsidR="00016696">
        <w:rPr>
          <w:rFonts w:ascii="Century Schoolbook" w:hAnsi="Century Schoolbook"/>
          <w:sz w:val="24"/>
          <w:szCs w:val="24"/>
        </w:rPr>
        <w:t>Material o</w:t>
      </w:r>
      <w:r w:rsidR="00610156">
        <w:rPr>
          <w:rFonts w:ascii="Century Schoolbook" w:hAnsi="Century Schoolbook"/>
          <w:sz w:val="24"/>
          <w:szCs w:val="24"/>
        </w:rPr>
        <w:t>mitted from 2014 MDL Standards and Best Practices.]</w:t>
      </w:r>
    </w:p>
    <w:p w14:paraId="420251A2" w14:textId="1F5BF79E" w:rsidR="00610156" w:rsidRPr="004A00C1" w:rsidRDefault="00610156" w:rsidP="00610156">
      <w:pPr>
        <w:spacing w:after="120"/>
        <w:ind w:left="720" w:right="720"/>
        <w:jc w:val="both"/>
        <w:rPr>
          <w:rFonts w:ascii="Century Schoolbook" w:hAnsi="Century Schoolbook"/>
          <w:sz w:val="24"/>
          <w:szCs w:val="24"/>
        </w:rPr>
      </w:pPr>
    </w:p>
    <w:p w14:paraId="6E0295C8" w14:textId="77777777" w:rsidR="00610156" w:rsidRPr="004A00C1" w:rsidRDefault="00CA3C6F" w:rsidP="00610156">
      <w:pPr>
        <w:spacing w:after="120"/>
        <w:ind w:left="720" w:right="720"/>
        <w:jc w:val="both"/>
        <w:rPr>
          <w:rFonts w:ascii="Century Schoolbook" w:hAnsi="Century Schoolbook"/>
          <w:sz w:val="24"/>
          <w:szCs w:val="24"/>
        </w:rPr>
      </w:pPr>
      <w:r w:rsidRPr="004A00C1">
        <w:rPr>
          <w:rFonts w:ascii="Century Schoolbook" w:hAnsi="Century Schoolbook"/>
          <w:smallCaps/>
          <w:sz w:val="24"/>
          <w:szCs w:val="24"/>
        </w:rPr>
        <w:t>Best Practice 1C</w:t>
      </w:r>
      <w:r w:rsidRPr="004A00C1">
        <w:rPr>
          <w:rFonts w:ascii="Century Schoolbook" w:hAnsi="Century Schoolbook"/>
          <w:sz w:val="24"/>
          <w:szCs w:val="24"/>
        </w:rPr>
        <w:t>: At an early juncture, the parties and the transferee judge should collaboratively develop a discovery plan.</w:t>
      </w:r>
    </w:p>
    <w:p w14:paraId="2E7F77A8" w14:textId="0A20728E" w:rsidR="00610156" w:rsidRPr="004A00C1" w:rsidRDefault="00CA3C6F" w:rsidP="00610156">
      <w:pPr>
        <w:tabs>
          <w:tab w:val="left" w:pos="1800"/>
        </w:tabs>
        <w:spacing w:before="120"/>
        <w:ind w:left="720" w:right="720"/>
        <w:rPr>
          <w:rFonts w:ascii="Century Schoolbook" w:hAnsi="Century Schoolbook"/>
          <w:sz w:val="24"/>
          <w:szCs w:val="24"/>
        </w:rPr>
      </w:pPr>
      <w:r w:rsidRPr="004A00C1">
        <w:rPr>
          <w:rFonts w:ascii="Century Schoolbook" w:hAnsi="Century Schoolbook"/>
          <w:sz w:val="24"/>
          <w:szCs w:val="24"/>
        </w:rPr>
        <w:t>….</w:t>
      </w:r>
      <w:r w:rsidR="00610156">
        <w:rPr>
          <w:rFonts w:ascii="Century Schoolbook" w:hAnsi="Century Schoolbook"/>
          <w:sz w:val="24"/>
          <w:szCs w:val="24"/>
        </w:rPr>
        <w:t xml:space="preserve"> [</w:t>
      </w:r>
      <w:r w:rsidR="00016696">
        <w:rPr>
          <w:rFonts w:ascii="Century Schoolbook" w:hAnsi="Century Schoolbook"/>
          <w:sz w:val="24"/>
          <w:szCs w:val="24"/>
        </w:rPr>
        <w:t>Material o</w:t>
      </w:r>
      <w:r w:rsidR="00610156">
        <w:rPr>
          <w:rFonts w:ascii="Century Schoolbook" w:hAnsi="Century Schoolbook"/>
          <w:sz w:val="24"/>
          <w:szCs w:val="24"/>
        </w:rPr>
        <w:t>mitted from 2014 MDL Standards and Best Practices.]</w:t>
      </w:r>
    </w:p>
    <w:p w14:paraId="74390301" w14:textId="77777777" w:rsidR="00610156" w:rsidRPr="004A00C1" w:rsidRDefault="00610156" w:rsidP="00610156">
      <w:pPr>
        <w:spacing w:after="120"/>
        <w:ind w:left="720" w:right="720"/>
        <w:jc w:val="both"/>
        <w:rPr>
          <w:rFonts w:ascii="Century Schoolbook" w:hAnsi="Century Schoolbook"/>
          <w:sz w:val="24"/>
          <w:szCs w:val="24"/>
        </w:rPr>
      </w:pPr>
    </w:p>
    <w:p w14:paraId="4A352630" w14:textId="65139261" w:rsidR="00610156" w:rsidRDefault="00CA3C6F" w:rsidP="00610156">
      <w:pPr>
        <w:ind w:left="720" w:right="720"/>
        <w:jc w:val="both"/>
        <w:rPr>
          <w:rFonts w:ascii="Century Schoolbook" w:hAnsi="Century Schoolbook"/>
          <w:sz w:val="24"/>
          <w:szCs w:val="24"/>
        </w:rPr>
      </w:pPr>
      <w:r w:rsidRPr="004A00C1">
        <w:rPr>
          <w:rFonts w:ascii="Century Schoolbook" w:hAnsi="Century Schoolbook"/>
          <w:smallCaps/>
          <w:sz w:val="24"/>
          <w:szCs w:val="24"/>
        </w:rPr>
        <w:t>Best Practice 1C(iv)</w:t>
      </w:r>
      <w:r w:rsidRPr="004A00C1">
        <w:rPr>
          <w:rFonts w:ascii="Century Schoolbook" w:hAnsi="Century Schoolbook"/>
          <w:sz w:val="24"/>
          <w:szCs w:val="24"/>
        </w:rPr>
        <w:t xml:space="preserve">: At an early juncture, </w:t>
      </w:r>
      <w:r>
        <w:rPr>
          <w:rFonts w:ascii="Century Schoolbook" w:hAnsi="Century Schoolbook"/>
          <w:sz w:val="24"/>
          <w:szCs w:val="24"/>
        </w:rPr>
        <w:t>i</w:t>
      </w:r>
      <w:r w:rsidRPr="004A00C1">
        <w:rPr>
          <w:rFonts w:ascii="Century Schoolbook" w:hAnsi="Century Schoolbook"/>
          <w:sz w:val="24"/>
          <w:szCs w:val="24"/>
        </w:rPr>
        <w:t>ndividual claimants should be required to produce information about their claims.</w:t>
      </w:r>
    </w:p>
    <w:p w14:paraId="79F69095" w14:textId="07D414B3" w:rsidR="00610156" w:rsidRPr="00573FA5" w:rsidRDefault="00610156" w:rsidP="00F84390">
      <w:pPr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03158E88" w14:textId="33B3BE3F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smallCaps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 xml:space="preserve">Best Practice 1C(v): </w:t>
      </w:r>
      <w:r w:rsidRPr="004A00C1">
        <w:rPr>
          <w:rFonts w:ascii="Century Schoolbook" w:hAnsi="Century Schoolbook"/>
          <w:sz w:val="24"/>
          <w:szCs w:val="24"/>
        </w:rPr>
        <w:t>In large mass-tort MDLs, a court should, on the parties’ request, consider issuing a case management order approving plaintiff and defendant fact sheets, which can provide</w:t>
      </w:r>
      <w:r w:rsidR="00610156">
        <w:rPr>
          <w:rFonts w:ascii="Century Schoolbook" w:hAnsi="Century Schoolbook"/>
          <w:sz w:val="24"/>
          <w:szCs w:val="24"/>
        </w:rPr>
        <w:t xml:space="preserve"> information useful for case management, relevant to selecting bellwether trials, and valuable for conducting settlement negotiations</w:t>
      </w:r>
      <w:r w:rsidRPr="004A00C1">
        <w:rPr>
          <w:rFonts w:ascii="Century Schoolbook" w:hAnsi="Century Schoolbook"/>
          <w:sz w:val="24"/>
          <w:szCs w:val="24"/>
        </w:rPr>
        <w:t>.  Fact sheets also help to uncover cases that should not have been centralized in the first instance.</w:t>
      </w:r>
      <w:r w:rsidRPr="00573FA5">
        <w:rPr>
          <w:rFonts w:ascii="Century Schoolbook" w:hAnsi="Century Schoolbook"/>
          <w:smallCaps/>
          <w:sz w:val="24"/>
          <w:szCs w:val="24"/>
        </w:rPr>
        <w:t xml:space="preserve"> </w:t>
      </w:r>
    </w:p>
    <w:p w14:paraId="7D04B4F8" w14:textId="1F104E4D" w:rsidR="007F0D90" w:rsidRPr="00573FA5" w:rsidRDefault="007F0D90" w:rsidP="00F84390">
      <w:pPr>
        <w:pStyle w:val="20sp1"/>
        <w:spacing w:after="0" w:line="240" w:lineRule="auto"/>
        <w:ind w:firstLine="0"/>
        <w:contextualSpacing/>
        <w:jc w:val="both"/>
        <w:rPr>
          <w:rFonts w:ascii="Century Schoolbook" w:hAnsi="Century Schoolbook"/>
          <w:szCs w:val="24"/>
        </w:rPr>
      </w:pPr>
    </w:p>
    <w:p w14:paraId="757E0C2D" w14:textId="77777777" w:rsidR="00610156" w:rsidRPr="004A00C1" w:rsidRDefault="00CA3C6F" w:rsidP="00610156">
      <w:pPr>
        <w:pStyle w:val="20sp1"/>
        <w:spacing w:after="0" w:line="240" w:lineRule="auto"/>
        <w:ind w:left="720" w:right="720" w:firstLine="0"/>
        <w:contextualSpacing/>
        <w:jc w:val="both"/>
        <w:rPr>
          <w:rFonts w:ascii="Century Schoolbook" w:hAnsi="Century Schoolbook"/>
          <w:szCs w:val="24"/>
        </w:rPr>
      </w:pPr>
      <w:r w:rsidRPr="00573FA5">
        <w:rPr>
          <w:rFonts w:ascii="Century Schoolbook" w:hAnsi="Century Schoolbook"/>
          <w:smallCaps/>
          <w:szCs w:val="24"/>
        </w:rPr>
        <w:t>Best Practice 1C(</w:t>
      </w:r>
      <w:r w:rsidRPr="00573FA5">
        <w:rPr>
          <w:rFonts w:ascii="Century Schoolbook" w:hAnsi="Century Schoolbook"/>
          <w:szCs w:val="24"/>
        </w:rPr>
        <w:t>vi</w:t>
      </w:r>
      <w:r w:rsidRPr="00573FA5">
        <w:rPr>
          <w:rFonts w:ascii="Century Schoolbook" w:hAnsi="Century Schoolbook"/>
          <w:smallCaps/>
          <w:szCs w:val="24"/>
        </w:rPr>
        <w:t>):</w:t>
      </w:r>
      <w:r w:rsidRPr="00573FA5">
        <w:rPr>
          <w:rFonts w:ascii="Century Schoolbook" w:hAnsi="Century Schoolbook"/>
          <w:szCs w:val="24"/>
        </w:rPr>
        <w:t xml:space="preserve"> </w:t>
      </w:r>
      <w:r w:rsidRPr="004A00C1">
        <w:rPr>
          <w:rFonts w:ascii="Century Schoolbook" w:hAnsi="Century Schoolbook"/>
          <w:szCs w:val="24"/>
        </w:rPr>
        <w:t xml:space="preserve">When plaintiff fact sheets are used, defendant fact sheets may serve a similarly important purpose. </w:t>
      </w:r>
    </w:p>
    <w:p w14:paraId="7FA61959" w14:textId="77777777" w:rsidR="00610156" w:rsidRPr="00573FA5" w:rsidRDefault="00610156" w:rsidP="00610156">
      <w:pPr>
        <w:pStyle w:val="20sp1"/>
        <w:spacing w:after="0" w:line="240" w:lineRule="auto"/>
        <w:ind w:left="720" w:right="720" w:firstLine="0"/>
        <w:contextualSpacing/>
        <w:jc w:val="both"/>
        <w:rPr>
          <w:rFonts w:ascii="Century Schoolbook" w:hAnsi="Century Schoolbook"/>
          <w:szCs w:val="24"/>
        </w:rPr>
      </w:pPr>
    </w:p>
    <w:p w14:paraId="68FC6BA6" w14:textId="2D36F18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1C(</w:t>
      </w:r>
      <w:r w:rsidRPr="00573FA5">
        <w:rPr>
          <w:rFonts w:ascii="Century Schoolbook" w:hAnsi="Century Schoolbook"/>
          <w:sz w:val="24"/>
          <w:szCs w:val="24"/>
        </w:rPr>
        <w:t>vii</w:t>
      </w:r>
      <w:r w:rsidRPr="00573FA5">
        <w:rPr>
          <w:rFonts w:ascii="Century Schoolbook" w:hAnsi="Century Schoolbook"/>
          <w:smallCaps/>
          <w:sz w:val="24"/>
          <w:szCs w:val="24"/>
        </w:rPr>
        <w:t>):</w:t>
      </w:r>
      <w:r w:rsidRPr="00573FA5">
        <w:rPr>
          <w:rFonts w:ascii="Century Schoolbook" w:hAnsi="Century Schoolbook"/>
          <w:sz w:val="24"/>
          <w:szCs w:val="24"/>
        </w:rPr>
        <w:t xml:space="preserve"> In large mass-tort MDLs, particularly those involving competing brands or versions of a similar pharmaceutical drug, the court should consider issuing a case management order requiring a product identification disclosure sheet </w:t>
      </w:r>
      <w:r>
        <w:rPr>
          <w:rFonts w:ascii="Century Schoolbook" w:hAnsi="Century Schoolbook"/>
          <w:sz w:val="24"/>
          <w:szCs w:val="24"/>
        </w:rPr>
        <w:t>that</w:t>
      </w:r>
      <w:r w:rsidRPr="00573FA5">
        <w:rPr>
          <w:rFonts w:ascii="Century Schoolbook" w:hAnsi="Century Schoolbook"/>
          <w:sz w:val="24"/>
          <w:szCs w:val="24"/>
        </w:rPr>
        <w:t xml:space="preserve"> quickly identif</w:t>
      </w:r>
      <w:r>
        <w:rPr>
          <w:rFonts w:ascii="Century Schoolbook" w:hAnsi="Century Schoolbook"/>
          <w:sz w:val="24"/>
          <w:szCs w:val="24"/>
        </w:rPr>
        <w:t>ies</w:t>
      </w:r>
      <w:r w:rsidRPr="00573FA5">
        <w:rPr>
          <w:rFonts w:ascii="Century Schoolbook" w:hAnsi="Century Schoolbook"/>
          <w:sz w:val="24"/>
          <w:szCs w:val="24"/>
        </w:rPr>
        <w:t xml:space="preserve"> cases that should not have been centralized in the first instance. </w:t>
      </w:r>
    </w:p>
    <w:p w14:paraId="36BAABBA" w14:textId="77777777" w:rsidR="00610156" w:rsidRPr="00573FA5" w:rsidRDefault="00610156" w:rsidP="00610156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56E3D39C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1C(</w:t>
      </w:r>
      <w:r w:rsidRPr="00573FA5">
        <w:rPr>
          <w:rFonts w:ascii="Century Schoolbook" w:hAnsi="Century Schoolbook"/>
          <w:sz w:val="24"/>
          <w:szCs w:val="24"/>
        </w:rPr>
        <w:t>viii): Standardized interrogatories may serve as an alternative to fact sheets.</w:t>
      </w:r>
    </w:p>
    <w:p w14:paraId="7D39DC6A" w14:textId="77777777" w:rsidR="00610156" w:rsidRPr="00573FA5" w:rsidRDefault="00610156" w:rsidP="00610156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2306CA0D" w14:textId="23613B34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1C(</w:t>
      </w:r>
      <w:r w:rsidRPr="00573FA5">
        <w:rPr>
          <w:rFonts w:ascii="Century Schoolbook" w:hAnsi="Century Schoolbook"/>
          <w:sz w:val="24"/>
          <w:szCs w:val="24"/>
        </w:rPr>
        <w:t>ix</w:t>
      </w:r>
      <w:r w:rsidRPr="00573FA5">
        <w:rPr>
          <w:rFonts w:ascii="Century Schoolbook" w:hAnsi="Century Schoolbook"/>
          <w:smallCaps/>
          <w:sz w:val="24"/>
          <w:szCs w:val="24"/>
        </w:rPr>
        <w:t>):</w:t>
      </w:r>
      <w:r w:rsidRPr="00573FA5">
        <w:rPr>
          <w:rFonts w:ascii="Century Schoolbook" w:hAnsi="Century Schoolbook"/>
          <w:sz w:val="24"/>
          <w:szCs w:val="24"/>
        </w:rPr>
        <w:t xml:space="preserve"> The court should enforc</w:t>
      </w:r>
      <w:r>
        <w:rPr>
          <w:rFonts w:ascii="Century Schoolbook" w:hAnsi="Century Schoolbook"/>
          <w:sz w:val="24"/>
          <w:szCs w:val="24"/>
        </w:rPr>
        <w:t>e</w:t>
      </w:r>
      <w:r w:rsidRPr="00573FA5">
        <w:rPr>
          <w:rFonts w:ascii="Century Schoolbook" w:hAnsi="Century Schoolbook"/>
          <w:sz w:val="24"/>
          <w:szCs w:val="24"/>
        </w:rPr>
        <w:t xml:space="preserve"> </w:t>
      </w:r>
      <w:r w:rsidR="0010253B">
        <w:rPr>
          <w:rFonts w:ascii="Century Schoolbook" w:hAnsi="Century Schoolbook"/>
          <w:sz w:val="24"/>
          <w:szCs w:val="24"/>
        </w:rPr>
        <w:t>reasonable</w:t>
      </w:r>
      <w:r w:rsidRPr="00573FA5">
        <w:rPr>
          <w:rFonts w:ascii="Century Schoolbook" w:hAnsi="Century Schoolbook"/>
          <w:sz w:val="24"/>
          <w:szCs w:val="24"/>
        </w:rPr>
        <w:t xml:space="preserve"> deadlines for submitting fact sheets, excusing late submissions only on an appropriate showing. </w:t>
      </w:r>
    </w:p>
    <w:p w14:paraId="56822246" w14:textId="77777777" w:rsidR="00610156" w:rsidRPr="00573FA5" w:rsidRDefault="00610156" w:rsidP="00610156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626FF3A9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Cs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1C(</w:t>
      </w:r>
      <w:r w:rsidRPr="00573FA5">
        <w:rPr>
          <w:rFonts w:ascii="Century Schoolbook" w:hAnsi="Century Schoolbook"/>
          <w:sz w:val="24"/>
          <w:szCs w:val="24"/>
        </w:rPr>
        <w:t>x</w:t>
      </w:r>
      <w:r w:rsidRPr="00573FA5">
        <w:rPr>
          <w:rFonts w:ascii="Century Schoolbook" w:hAnsi="Century Schoolbook"/>
          <w:smallCaps/>
          <w:sz w:val="24"/>
          <w:szCs w:val="24"/>
        </w:rPr>
        <w:t>):</w:t>
      </w:r>
      <w:r w:rsidRPr="00573FA5">
        <w:rPr>
          <w:rFonts w:ascii="Century Schoolbook" w:hAnsi="Century Schoolbook"/>
          <w:sz w:val="24"/>
          <w:szCs w:val="24"/>
        </w:rPr>
        <w:t xml:space="preserve"> The</w:t>
      </w:r>
      <w:r w:rsidRPr="00573FA5">
        <w:rPr>
          <w:rFonts w:ascii="Century Schoolbook" w:hAnsi="Century Schoolbook"/>
          <w:iCs/>
          <w:sz w:val="24"/>
          <w:szCs w:val="24"/>
        </w:rPr>
        <w:t xml:space="preserve"> transferee judge should consider, in addition to deadlines for the completion of fact sheets, a case management order detailing the process for handling late or incomplete fact sheets. </w:t>
      </w:r>
    </w:p>
    <w:p w14:paraId="4CA49169" w14:textId="146FAFAA" w:rsidR="00610156" w:rsidRPr="00573FA5" w:rsidRDefault="00610156" w:rsidP="00F84390">
      <w:pPr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606B4C59" w14:textId="5CACF9E5" w:rsidR="00610156" w:rsidRPr="00573FA5" w:rsidRDefault="00CA3C6F" w:rsidP="00610156">
      <w:pPr>
        <w:pStyle w:val="20sp1"/>
        <w:spacing w:after="0" w:line="240" w:lineRule="auto"/>
        <w:ind w:left="720" w:right="720" w:firstLine="0"/>
        <w:contextualSpacing/>
        <w:jc w:val="both"/>
        <w:rPr>
          <w:rFonts w:ascii="Century Schoolbook" w:hAnsi="Century Schoolbook"/>
          <w:szCs w:val="24"/>
        </w:rPr>
      </w:pPr>
      <w:r w:rsidRPr="00573FA5">
        <w:rPr>
          <w:rFonts w:ascii="Century Schoolbook" w:hAnsi="Century Schoolbook"/>
          <w:smallCaps/>
          <w:szCs w:val="24"/>
        </w:rPr>
        <w:lastRenderedPageBreak/>
        <w:t>Best Practice 1C(</w:t>
      </w:r>
      <w:r w:rsidRPr="00573FA5">
        <w:rPr>
          <w:rFonts w:ascii="Century Schoolbook" w:hAnsi="Century Schoolbook"/>
          <w:szCs w:val="24"/>
        </w:rPr>
        <w:t xml:space="preserve">xi): </w:t>
      </w:r>
      <w:r>
        <w:rPr>
          <w:rFonts w:ascii="Century Schoolbook" w:hAnsi="Century Schoolbook"/>
          <w:szCs w:val="24"/>
        </w:rPr>
        <w:t xml:space="preserve">Once it is </w:t>
      </w:r>
      <w:r w:rsidR="0010253B">
        <w:rPr>
          <w:rFonts w:ascii="Century Schoolbook" w:hAnsi="Century Schoolbook"/>
          <w:szCs w:val="24"/>
        </w:rPr>
        <w:t>demonstrated</w:t>
      </w:r>
      <w:r>
        <w:rPr>
          <w:rFonts w:ascii="Century Schoolbook" w:hAnsi="Century Schoolbook"/>
          <w:szCs w:val="24"/>
        </w:rPr>
        <w:t xml:space="preserve"> </w:t>
      </w:r>
      <w:r w:rsidRPr="00573FA5">
        <w:rPr>
          <w:rFonts w:ascii="Century Schoolbook" w:hAnsi="Century Schoolbook"/>
          <w:szCs w:val="24"/>
        </w:rPr>
        <w:t xml:space="preserve">that individual fact sheets have been filed with material, inaccurate information, the court should consider requiring that </w:t>
      </w:r>
      <w:r>
        <w:rPr>
          <w:rFonts w:ascii="Century Schoolbook" w:hAnsi="Century Schoolbook"/>
          <w:szCs w:val="24"/>
        </w:rPr>
        <w:t xml:space="preserve">answers be supported with </w:t>
      </w:r>
      <w:r w:rsidR="0010253B">
        <w:rPr>
          <w:rFonts w:ascii="Century Schoolbook" w:hAnsi="Century Schoolbook"/>
          <w:szCs w:val="24"/>
        </w:rPr>
        <w:t xml:space="preserve">some minimal amount of additional </w:t>
      </w:r>
      <w:r w:rsidRPr="00573FA5">
        <w:rPr>
          <w:rFonts w:ascii="Century Schoolbook" w:hAnsi="Century Schoolbook"/>
          <w:szCs w:val="24"/>
        </w:rPr>
        <w:t xml:space="preserve">evidence supporting the claim or defense </w:t>
      </w:r>
      <w:r>
        <w:rPr>
          <w:rFonts w:ascii="Century Schoolbook" w:hAnsi="Century Schoolbook"/>
          <w:szCs w:val="24"/>
        </w:rPr>
        <w:t>at issue</w:t>
      </w:r>
      <w:r w:rsidRPr="00573FA5">
        <w:rPr>
          <w:rFonts w:ascii="Century Schoolbook" w:hAnsi="Century Schoolbook"/>
          <w:szCs w:val="24"/>
        </w:rPr>
        <w:t xml:space="preserve">. </w:t>
      </w:r>
    </w:p>
    <w:p w14:paraId="324AE89C" w14:textId="77777777" w:rsidR="00F84390" w:rsidRDefault="00F84390" w:rsidP="00610156">
      <w:pPr>
        <w:pStyle w:val="20sp1"/>
        <w:spacing w:after="0" w:line="240" w:lineRule="auto"/>
        <w:ind w:left="720" w:right="720" w:firstLine="0"/>
        <w:contextualSpacing/>
        <w:jc w:val="both"/>
        <w:rPr>
          <w:rFonts w:ascii="Century Schoolbook" w:hAnsi="Century Schoolbook"/>
          <w:smallCaps/>
          <w:szCs w:val="24"/>
        </w:rPr>
      </w:pPr>
    </w:p>
    <w:p w14:paraId="610D900D" w14:textId="2F718D6A" w:rsidR="00610156" w:rsidRDefault="00CA3C6F" w:rsidP="00610156">
      <w:pPr>
        <w:pStyle w:val="20sp1"/>
        <w:spacing w:after="0" w:line="240" w:lineRule="auto"/>
        <w:ind w:left="720" w:right="720" w:firstLine="0"/>
        <w:contextualSpacing/>
        <w:jc w:val="both"/>
        <w:rPr>
          <w:rFonts w:ascii="Century Schoolbook" w:hAnsi="Century Schoolbook"/>
          <w:szCs w:val="24"/>
        </w:rPr>
      </w:pPr>
      <w:r w:rsidRPr="00573FA5">
        <w:rPr>
          <w:rFonts w:ascii="Century Schoolbook" w:hAnsi="Century Schoolbook"/>
          <w:smallCaps/>
          <w:szCs w:val="24"/>
        </w:rPr>
        <w:t>Best Practice 1D</w:t>
      </w:r>
      <w:r w:rsidRPr="00573FA5">
        <w:rPr>
          <w:rFonts w:ascii="Century Schoolbook" w:hAnsi="Century Schoolbook"/>
          <w:szCs w:val="24"/>
        </w:rPr>
        <w:t>: Class actions may require a different approach to discovery because of the need to resolve class-certification issues as early as practicable.</w:t>
      </w:r>
    </w:p>
    <w:p w14:paraId="598A6D86" w14:textId="77777777" w:rsidR="0010253B" w:rsidRPr="00573FA5" w:rsidRDefault="0010253B" w:rsidP="00610156">
      <w:pPr>
        <w:pStyle w:val="20sp1"/>
        <w:spacing w:after="0" w:line="240" w:lineRule="auto"/>
        <w:ind w:left="720" w:right="720" w:firstLine="0"/>
        <w:contextualSpacing/>
        <w:jc w:val="both"/>
        <w:rPr>
          <w:rFonts w:ascii="Century Schoolbook" w:hAnsi="Century Schoolbook"/>
          <w:szCs w:val="24"/>
        </w:rPr>
      </w:pPr>
    </w:p>
    <w:p w14:paraId="605C2FAB" w14:textId="1C44C8B5" w:rsidR="00610156" w:rsidRDefault="00CA3C6F" w:rsidP="00610156">
      <w:pPr>
        <w:pStyle w:val="20sp1"/>
        <w:spacing w:after="0" w:line="240" w:lineRule="auto"/>
        <w:ind w:firstLine="720"/>
        <w:contextualSpacing/>
        <w:jc w:val="both"/>
        <w:rPr>
          <w:rFonts w:ascii="Century Schoolbook" w:hAnsi="Century Schoolbook"/>
          <w:szCs w:val="24"/>
        </w:rPr>
      </w:pPr>
      <w:r w:rsidRPr="00573FA5">
        <w:rPr>
          <w:rFonts w:ascii="Century Schoolbook" w:hAnsi="Century Schoolbook"/>
          <w:szCs w:val="24"/>
        </w:rPr>
        <w:t>….</w:t>
      </w:r>
      <w:r w:rsidR="0010253B">
        <w:rPr>
          <w:rFonts w:ascii="Century Schoolbook" w:hAnsi="Century Schoolbook"/>
          <w:szCs w:val="24"/>
        </w:rPr>
        <w:t xml:space="preserve"> [</w:t>
      </w:r>
      <w:r w:rsidR="00BC2CA2">
        <w:rPr>
          <w:rFonts w:ascii="Century Schoolbook" w:hAnsi="Century Schoolbook"/>
          <w:szCs w:val="24"/>
        </w:rPr>
        <w:t>Material o</w:t>
      </w:r>
      <w:r w:rsidR="0010253B">
        <w:rPr>
          <w:rFonts w:ascii="Century Schoolbook" w:hAnsi="Century Schoolbook"/>
          <w:szCs w:val="24"/>
        </w:rPr>
        <w:t>mitted from 2014 MDL Standards and Best Practices.]</w:t>
      </w:r>
    </w:p>
    <w:p w14:paraId="38F99308" w14:textId="77777777" w:rsidR="0010253B" w:rsidRPr="00573FA5" w:rsidRDefault="0010253B" w:rsidP="00610156">
      <w:pPr>
        <w:pStyle w:val="20sp1"/>
        <w:spacing w:after="0" w:line="240" w:lineRule="auto"/>
        <w:ind w:firstLine="720"/>
        <w:contextualSpacing/>
        <w:jc w:val="both"/>
        <w:rPr>
          <w:rFonts w:ascii="Century Schoolbook" w:hAnsi="Century Schoolbook"/>
          <w:szCs w:val="24"/>
        </w:rPr>
      </w:pPr>
    </w:p>
    <w:p w14:paraId="4B9D9102" w14:textId="77777777" w:rsidR="00610156" w:rsidRPr="00573FA5" w:rsidRDefault="00CA3C6F" w:rsidP="00610156">
      <w:pPr>
        <w:pStyle w:val="BodyText"/>
        <w:tabs>
          <w:tab w:val="left" w:pos="2938"/>
        </w:tabs>
        <w:ind w:left="720" w:right="922"/>
        <w:contextualSpacing/>
        <w:jc w:val="both"/>
        <w:rPr>
          <w:rFonts w:ascii="Century Schoolbook" w:hAnsi="Century Schoolbook"/>
          <w:color w:val="000000" w:themeColor="text1"/>
        </w:rPr>
      </w:pPr>
      <w:r w:rsidRPr="00573FA5">
        <w:rPr>
          <w:rFonts w:ascii="Century Schoolbook" w:hAnsi="Century Schoolbook"/>
          <w:smallCaps/>
          <w:color w:val="000000" w:themeColor="text1"/>
        </w:rPr>
        <w:t>Best Practice 1E</w:t>
      </w:r>
      <w:r w:rsidRPr="00573FA5">
        <w:rPr>
          <w:rFonts w:ascii="Century Schoolbook" w:hAnsi="Century Schoolbook"/>
          <w:color w:val="000000" w:themeColor="text1"/>
        </w:rPr>
        <w:t>: The transferee judge should confer with the parties to</w:t>
      </w:r>
      <w:r w:rsidRPr="00573FA5">
        <w:rPr>
          <w:rFonts w:ascii="Century Schoolbook" w:hAnsi="Century Schoolbook"/>
          <w:color w:val="000000" w:themeColor="text1"/>
          <w:w w:val="99"/>
        </w:rPr>
        <w:t xml:space="preserve"> </w:t>
      </w:r>
      <w:r w:rsidRPr="00573FA5">
        <w:rPr>
          <w:rFonts w:ascii="Century Schoolbook" w:hAnsi="Century Schoolbook"/>
          <w:color w:val="000000" w:themeColor="text1"/>
        </w:rPr>
        <w:t>determine whether holding bellwether trials would advance the</w:t>
      </w:r>
      <w:r w:rsidRPr="00573FA5">
        <w:rPr>
          <w:rFonts w:ascii="Century Schoolbook" w:hAnsi="Century Schoolbook"/>
          <w:color w:val="000000" w:themeColor="text1"/>
          <w:spacing w:val="-19"/>
        </w:rPr>
        <w:t xml:space="preserve"> </w:t>
      </w:r>
      <w:r w:rsidRPr="00573FA5">
        <w:rPr>
          <w:rFonts w:ascii="Century Schoolbook" w:hAnsi="Century Schoolbook"/>
          <w:color w:val="000000" w:themeColor="text1"/>
        </w:rPr>
        <w:t>litigation.</w:t>
      </w:r>
    </w:p>
    <w:p w14:paraId="4360B8F9" w14:textId="01304CA0" w:rsidR="00610156" w:rsidRPr="00573FA5" w:rsidRDefault="00610156" w:rsidP="00F84390">
      <w:pPr>
        <w:pStyle w:val="BodyText"/>
        <w:contextualSpacing/>
        <w:jc w:val="both"/>
        <w:rPr>
          <w:rFonts w:ascii="Century Schoolbook" w:hAnsi="Century Schoolbook"/>
          <w:color w:val="000000" w:themeColor="text1"/>
        </w:rPr>
      </w:pPr>
    </w:p>
    <w:p w14:paraId="70A4F6D4" w14:textId="77777777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color w:val="000000" w:themeColor="text1"/>
        </w:rPr>
      </w:pPr>
      <w:r w:rsidRPr="00573FA5">
        <w:rPr>
          <w:rFonts w:ascii="Century Schoolbook" w:hAnsi="Century Schoolbook"/>
          <w:smallCaps/>
          <w:color w:val="000000" w:themeColor="text1"/>
        </w:rPr>
        <w:t>Best Practice 1E(</w:t>
      </w:r>
      <w:r w:rsidRPr="00573FA5">
        <w:rPr>
          <w:rFonts w:ascii="Century Schoolbook" w:hAnsi="Century Schoolbook"/>
          <w:color w:val="000000" w:themeColor="text1"/>
        </w:rPr>
        <w:t>i</w:t>
      </w:r>
      <w:r w:rsidRPr="00573FA5">
        <w:rPr>
          <w:rFonts w:ascii="Century Schoolbook" w:hAnsi="Century Schoolbook"/>
          <w:smallCaps/>
          <w:color w:val="000000" w:themeColor="text1"/>
        </w:rPr>
        <w:t>):</w:t>
      </w:r>
      <w:r w:rsidRPr="00573FA5">
        <w:rPr>
          <w:rFonts w:ascii="Century Schoolbook" w:hAnsi="Century Schoolbook"/>
          <w:color w:val="000000" w:themeColor="text1"/>
        </w:rPr>
        <w:t xml:space="preserve"> The transferee court should adopt a strategy for facilitating the availability of the broadest possible pool of candidates from which to select bellwether cases.</w:t>
      </w:r>
    </w:p>
    <w:p w14:paraId="765F2988" w14:textId="7FFC8963" w:rsidR="00610156" w:rsidRPr="00573FA5" w:rsidRDefault="00610156" w:rsidP="00F84390">
      <w:pPr>
        <w:pStyle w:val="BodyText"/>
        <w:contextualSpacing/>
        <w:rPr>
          <w:rFonts w:ascii="Century Schoolbook" w:hAnsi="Century Schoolbook"/>
          <w:color w:val="000000" w:themeColor="text1"/>
        </w:rPr>
      </w:pPr>
    </w:p>
    <w:p w14:paraId="3BC93F1E" w14:textId="77777777" w:rsidR="00610156" w:rsidRPr="00573FA5" w:rsidRDefault="00CA3C6F" w:rsidP="00610156">
      <w:pPr>
        <w:pStyle w:val="NoSpacing"/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1E</w:t>
      </w:r>
      <w:r w:rsidRPr="00573FA5">
        <w:rPr>
          <w:rFonts w:ascii="Century Schoolbook" w:hAnsi="Century Schoolbook"/>
          <w:sz w:val="24"/>
          <w:szCs w:val="24"/>
        </w:rPr>
        <w:t>(ii</w:t>
      </w:r>
      <w:r w:rsidRPr="00573FA5">
        <w:rPr>
          <w:rFonts w:ascii="Century Schoolbook" w:hAnsi="Century Schoolbook"/>
          <w:smallCaps/>
          <w:sz w:val="24"/>
          <w:szCs w:val="24"/>
        </w:rPr>
        <w:t>):</w:t>
      </w:r>
      <w:r w:rsidRPr="00573FA5">
        <w:rPr>
          <w:rFonts w:ascii="Century Schoolbook" w:hAnsi="Century Schoolbook"/>
          <w:sz w:val="24"/>
          <w:szCs w:val="24"/>
        </w:rPr>
        <w:t xml:space="preserve"> One strategy for facilitating the broadest pool of candidates from which to select bellwether cases is to consider remanding select cases back to the transferor districts for trial.</w:t>
      </w:r>
    </w:p>
    <w:p w14:paraId="0DC3D9A9" w14:textId="77777777" w:rsidR="00610156" w:rsidRDefault="00610156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smallCaps/>
          <w:color w:val="000000" w:themeColor="text1"/>
        </w:rPr>
      </w:pPr>
    </w:p>
    <w:p w14:paraId="6816A01D" w14:textId="03DE4EE0" w:rsidR="00610156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color w:val="000000" w:themeColor="text1"/>
        </w:rPr>
      </w:pPr>
      <w:r w:rsidRPr="00573FA5">
        <w:rPr>
          <w:rFonts w:ascii="Century Schoolbook" w:hAnsi="Century Schoolbook"/>
          <w:smallCaps/>
          <w:color w:val="000000" w:themeColor="text1"/>
        </w:rPr>
        <w:t>Best Practice 1E(</w:t>
      </w:r>
      <w:r w:rsidRPr="00573FA5">
        <w:rPr>
          <w:rFonts w:ascii="Century Schoolbook" w:hAnsi="Century Schoolbook"/>
          <w:color w:val="000000" w:themeColor="text1"/>
        </w:rPr>
        <w:t>iii): The transferee judge and the parties should establish a process that requires collaborative selection of bellwether trial cases.</w:t>
      </w:r>
    </w:p>
    <w:p w14:paraId="02848BA5" w14:textId="70DBD4EE" w:rsidR="008E7FDF" w:rsidRDefault="008E7FD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color w:val="000000" w:themeColor="text1"/>
        </w:rPr>
      </w:pPr>
    </w:p>
    <w:p w14:paraId="3C849B55" w14:textId="45A4B423" w:rsidR="008E7FDF" w:rsidRDefault="008E7FD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color w:val="000000" w:themeColor="text1"/>
        </w:rPr>
      </w:pPr>
    </w:p>
    <w:p w14:paraId="5A9F6EC4" w14:textId="77777777" w:rsidR="008E7FDF" w:rsidRPr="00573FA5" w:rsidRDefault="008E7FD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color w:val="000000" w:themeColor="text1"/>
        </w:rPr>
      </w:pPr>
    </w:p>
    <w:p w14:paraId="4EEBA04D" w14:textId="77777777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color w:val="000000" w:themeColor="text1"/>
        </w:rPr>
      </w:pPr>
      <w:r w:rsidRPr="00573FA5">
        <w:rPr>
          <w:rFonts w:ascii="Century Schoolbook" w:hAnsi="Century Schoolbook"/>
          <w:smallCaps/>
          <w:color w:val="000000" w:themeColor="text1"/>
        </w:rPr>
        <w:t>Best Practice 1E(</w:t>
      </w:r>
      <w:r w:rsidRPr="00573FA5">
        <w:rPr>
          <w:rFonts w:ascii="Century Schoolbook" w:hAnsi="Century Schoolbook"/>
          <w:color w:val="000000" w:themeColor="text1"/>
        </w:rPr>
        <w:t>iv): The transferee judge should adopt rules that will minimize the risk that parties will attempt to “game” the bellwether trial-selection process to result in test trials of cases that are not representative of the entire case pool.</w:t>
      </w:r>
    </w:p>
    <w:p w14:paraId="4705AB77" w14:textId="77777777" w:rsidR="00F84390" w:rsidRDefault="00F84390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smallCaps/>
          <w:color w:val="000000" w:themeColor="text1"/>
        </w:rPr>
      </w:pPr>
    </w:p>
    <w:p w14:paraId="1DF4F092" w14:textId="0963717E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color w:val="000000" w:themeColor="text1"/>
        </w:rPr>
      </w:pPr>
      <w:r w:rsidRPr="00573FA5">
        <w:rPr>
          <w:rFonts w:ascii="Century Schoolbook" w:hAnsi="Century Schoolbook"/>
          <w:smallCaps/>
          <w:color w:val="000000" w:themeColor="text1"/>
        </w:rPr>
        <w:t>Best Practice 1E(</w:t>
      </w:r>
      <w:r w:rsidRPr="00573FA5">
        <w:rPr>
          <w:rFonts w:ascii="Century Schoolbook" w:hAnsi="Century Schoolbook"/>
          <w:color w:val="000000" w:themeColor="text1"/>
        </w:rPr>
        <w:t>v</w:t>
      </w:r>
      <w:r w:rsidRPr="00573FA5">
        <w:rPr>
          <w:rFonts w:ascii="Century Schoolbook" w:hAnsi="Century Schoolbook"/>
          <w:smallCaps/>
          <w:color w:val="000000" w:themeColor="text1"/>
        </w:rPr>
        <w:t>):</w:t>
      </w:r>
      <w:r w:rsidRPr="00573FA5">
        <w:rPr>
          <w:rFonts w:ascii="Century Schoolbook" w:hAnsi="Century Schoolbook"/>
          <w:color w:val="000000" w:themeColor="text1"/>
        </w:rPr>
        <w:t xml:space="preserve"> The t</w:t>
      </w:r>
      <w:r>
        <w:rPr>
          <w:rFonts w:ascii="Century Schoolbook" w:hAnsi="Century Schoolbook"/>
          <w:color w:val="000000" w:themeColor="text1"/>
        </w:rPr>
        <w:t xml:space="preserve">ransferee judge should consider </w:t>
      </w:r>
      <w:r w:rsidRPr="00573FA5">
        <w:rPr>
          <w:rFonts w:ascii="Century Schoolbook" w:hAnsi="Century Schoolbook"/>
          <w:color w:val="000000" w:themeColor="text1"/>
        </w:rPr>
        <w:t>using bellwether alternatives, including mini-trials and mediation.</w:t>
      </w:r>
    </w:p>
    <w:p w14:paraId="58BDD8AB" w14:textId="7CBF5DC4" w:rsidR="00610156" w:rsidRDefault="00610156" w:rsidP="00610156">
      <w:pPr>
        <w:pStyle w:val="BodyText"/>
        <w:ind w:left="839" w:right="1645"/>
        <w:contextualSpacing/>
        <w:jc w:val="both"/>
        <w:rPr>
          <w:rFonts w:ascii="Century Schoolbook" w:hAnsi="Century Schoolbook"/>
          <w:color w:val="000000" w:themeColor="text1"/>
        </w:rPr>
      </w:pPr>
    </w:p>
    <w:p w14:paraId="0A2E6C15" w14:textId="77777777" w:rsidR="008E7FDF" w:rsidRPr="004A00C1" w:rsidRDefault="008E7FDF" w:rsidP="008E7FDF">
      <w:pPr>
        <w:tabs>
          <w:tab w:val="left" w:pos="720"/>
          <w:tab w:val="left" w:pos="1800"/>
        </w:tabs>
        <w:spacing w:before="120"/>
        <w:ind w:left="720" w:right="720"/>
        <w:rPr>
          <w:rFonts w:ascii="Century Schoolbook" w:hAnsi="Century Schoolbook"/>
          <w:sz w:val="24"/>
          <w:szCs w:val="24"/>
        </w:rPr>
      </w:pPr>
      <w:r w:rsidRPr="004A00C1">
        <w:rPr>
          <w:rFonts w:ascii="Century Schoolbook" w:hAnsi="Century Schoolbook"/>
          <w:sz w:val="24"/>
          <w:szCs w:val="24"/>
        </w:rPr>
        <w:t>….</w:t>
      </w:r>
      <w:r>
        <w:rPr>
          <w:rFonts w:ascii="Century Schoolbook" w:hAnsi="Century Schoolbook"/>
          <w:sz w:val="24"/>
          <w:szCs w:val="24"/>
        </w:rPr>
        <w:t xml:space="preserve"> [Material omitted from 2014 MDL Standards and Best Practices.]</w:t>
      </w:r>
    </w:p>
    <w:p w14:paraId="547D1CCA" w14:textId="77777777" w:rsidR="008E7FDF" w:rsidRPr="00573FA5" w:rsidRDefault="008E7FDF" w:rsidP="00610156">
      <w:pPr>
        <w:pStyle w:val="BodyText"/>
        <w:ind w:left="839" w:right="1645"/>
        <w:contextualSpacing/>
        <w:jc w:val="both"/>
        <w:rPr>
          <w:rFonts w:ascii="Century Schoolbook" w:hAnsi="Century Schoolbook"/>
          <w:color w:val="000000" w:themeColor="text1"/>
        </w:rPr>
      </w:pPr>
    </w:p>
    <w:p w14:paraId="4C278310" w14:textId="77777777" w:rsidR="00610156" w:rsidRPr="004A00C1" w:rsidRDefault="00CA3C6F" w:rsidP="00610156">
      <w:pPr>
        <w:contextualSpacing/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4A00C1">
        <w:rPr>
          <w:rFonts w:ascii="Century Schoolbook" w:hAnsi="Century Schoolbook"/>
          <w:b/>
          <w:smallCaps/>
          <w:sz w:val="24"/>
          <w:szCs w:val="24"/>
        </w:rPr>
        <w:t>CHAPTER 3</w:t>
      </w:r>
    </w:p>
    <w:p w14:paraId="22DBCAE4" w14:textId="77777777" w:rsidR="00610156" w:rsidRPr="004A00C1" w:rsidRDefault="00610156" w:rsidP="00610156">
      <w:pPr>
        <w:contextualSpacing/>
        <w:jc w:val="center"/>
        <w:rPr>
          <w:rFonts w:ascii="Century Schoolbook" w:hAnsi="Century Schoolbook"/>
          <w:b/>
          <w:smallCaps/>
          <w:sz w:val="24"/>
          <w:szCs w:val="24"/>
        </w:rPr>
      </w:pPr>
    </w:p>
    <w:p w14:paraId="65034AA4" w14:textId="1147675D" w:rsidR="00610156" w:rsidRDefault="00CA3C6F" w:rsidP="00610156">
      <w:pPr>
        <w:contextualSpacing/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4A00C1">
        <w:rPr>
          <w:rFonts w:ascii="Century Schoolbook" w:hAnsi="Century Schoolbook"/>
          <w:b/>
          <w:smallCaps/>
          <w:sz w:val="24"/>
          <w:szCs w:val="24"/>
        </w:rPr>
        <w:t xml:space="preserve"> LEAD COUNSEL DUTIES </w:t>
      </w:r>
    </w:p>
    <w:p w14:paraId="7B552676" w14:textId="77777777" w:rsidR="005B39DA" w:rsidRDefault="005B39DA" w:rsidP="00610156">
      <w:pPr>
        <w:contextualSpacing/>
        <w:jc w:val="center"/>
        <w:rPr>
          <w:rFonts w:ascii="Century Schoolbook" w:hAnsi="Century Schoolbook"/>
          <w:b/>
          <w:smallCaps/>
          <w:sz w:val="24"/>
          <w:szCs w:val="24"/>
        </w:rPr>
      </w:pPr>
    </w:p>
    <w:p w14:paraId="7A4F4972" w14:textId="0861DD31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smallCaps/>
          <w:color w:val="000000"/>
          <w:sz w:val="24"/>
          <w:szCs w:val="24"/>
        </w:rPr>
        <w:t>MDL Standard 5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: </w:t>
      </w:r>
      <w:r>
        <w:rPr>
          <w:rFonts w:ascii="Century Schoolbook" w:hAnsi="Century Schoolbook"/>
          <w:color w:val="000000"/>
          <w:sz w:val="24"/>
          <w:szCs w:val="24"/>
        </w:rPr>
        <w:t xml:space="preserve">Plaintiffs’ </w:t>
      </w:r>
      <w:r w:rsidRPr="00573FA5">
        <w:rPr>
          <w:rFonts w:ascii="Century Schoolbook" w:hAnsi="Century Schoolbook"/>
          <w:color w:val="000000"/>
          <w:sz w:val="24"/>
          <w:szCs w:val="24"/>
        </w:rPr>
        <w:t>lead counsel in an MDL does not have a fiduciary relationship with all plaintiffs in the case</w:t>
      </w:r>
      <w:r w:rsidR="00A305FF">
        <w:rPr>
          <w:rFonts w:ascii="Century Schoolbook" w:hAnsi="Century Schoolbook"/>
          <w:color w:val="000000"/>
          <w:sz w:val="24"/>
          <w:szCs w:val="24"/>
        </w:rPr>
        <w:t>, notwithstanding a perception sometimes expressed to the contrary</w:t>
      </w:r>
      <w:r w:rsidRPr="00573FA5">
        <w:rPr>
          <w:rFonts w:ascii="Century Schoolbook" w:hAnsi="Century Schoolbook"/>
          <w:color w:val="000000"/>
          <w:sz w:val="24"/>
          <w:szCs w:val="24"/>
        </w:rPr>
        <w:t>.</w:t>
      </w:r>
    </w:p>
    <w:p w14:paraId="4EC1960C" w14:textId="77777777" w:rsidR="00610156" w:rsidRPr="00573FA5" w:rsidRDefault="00610156" w:rsidP="00610156">
      <w:pPr>
        <w:ind w:left="720" w:right="720"/>
        <w:contextualSpacing/>
        <w:jc w:val="both"/>
        <w:rPr>
          <w:rFonts w:ascii="Century Schoolbook" w:hAnsi="Century Schoolbook"/>
          <w:color w:val="000000"/>
          <w:sz w:val="24"/>
          <w:szCs w:val="24"/>
        </w:rPr>
      </w:pPr>
    </w:p>
    <w:p w14:paraId="52F8B281" w14:textId="464E068C" w:rsidR="00610156" w:rsidRPr="00573FA5" w:rsidRDefault="00CA3C6F" w:rsidP="00F84390">
      <w:pPr>
        <w:ind w:left="720" w:right="630"/>
        <w:contextualSpacing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smallCaps/>
          <w:color w:val="000000"/>
          <w:sz w:val="24"/>
          <w:szCs w:val="24"/>
        </w:rPr>
        <w:t>MDL Standard 6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: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Lead counsel owes an obligation to the court to comply with all directions set out in the court’s appointment order and must resolve any conflicts with obligations owed to </w:t>
      </w:r>
      <w:r>
        <w:rPr>
          <w:rFonts w:ascii="Century Schoolbook" w:hAnsi="Century Schoolbook"/>
          <w:color w:val="000000"/>
          <w:sz w:val="24"/>
          <w:szCs w:val="24"/>
        </w:rPr>
        <w:t xml:space="preserve">counsel’s </w:t>
      </w:r>
      <w:r w:rsidRPr="00573FA5">
        <w:rPr>
          <w:rFonts w:ascii="Century Schoolbook" w:hAnsi="Century Schoolbook"/>
          <w:color w:val="000000"/>
          <w:sz w:val="24"/>
          <w:szCs w:val="24"/>
        </w:rPr>
        <w:t>retained clients that might otherwise interfere with lead counsel’s ability to carry out the court’s directions.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</w:p>
    <w:p w14:paraId="29E4DE79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color w:val="000000"/>
          <w:sz w:val="24"/>
          <w:szCs w:val="24"/>
        </w:rPr>
      </w:pPr>
    </w:p>
    <w:p w14:paraId="7A76E370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6A</w:t>
      </w:r>
      <w:r w:rsidRPr="00573FA5">
        <w:rPr>
          <w:rFonts w:ascii="Century Schoolbook" w:hAnsi="Century Schoolbook"/>
          <w:color w:val="000000"/>
          <w:sz w:val="24"/>
          <w:szCs w:val="24"/>
        </w:rPr>
        <w:t>: The court should delineate in its appointment order the responsibilities of lead counsel in sufficient detail for counsel to advise individually-retained clients of the duty owed to the court, which is superior to any duty owed to the individually-retained client.</w:t>
      </w:r>
      <w:r w:rsidRPr="00573FA5">
        <w:rPr>
          <w:rFonts w:ascii="Century Schoolbook" w:hAnsi="Century Schoolbook"/>
          <w:i/>
          <w:color w:val="000000"/>
          <w:sz w:val="24"/>
          <w:szCs w:val="24"/>
        </w:rPr>
        <w:t xml:space="preserve"> </w:t>
      </w:r>
    </w:p>
    <w:p w14:paraId="3E003DB8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i/>
          <w:color w:val="000000"/>
          <w:sz w:val="24"/>
          <w:szCs w:val="24"/>
        </w:rPr>
      </w:pPr>
    </w:p>
    <w:p w14:paraId="6F129084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6B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: Lead counsel has a duty to perform functions affecting all plaintiffs in an MDL in a fair, honest, competent, reasonable, and responsible way. </w:t>
      </w:r>
    </w:p>
    <w:p w14:paraId="363F0E91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i/>
          <w:color w:val="000000"/>
          <w:sz w:val="24"/>
          <w:szCs w:val="24"/>
        </w:rPr>
      </w:pPr>
    </w:p>
    <w:p w14:paraId="081C7988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smallCaps/>
          <w:color w:val="000000"/>
          <w:sz w:val="24"/>
          <w:szCs w:val="24"/>
        </w:rPr>
        <w:t>MDL Standard 7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: </w:t>
      </w:r>
      <w:r w:rsidRPr="00573FA5">
        <w:rPr>
          <w:rFonts w:ascii="Century Schoolbook" w:hAnsi="Century Schoolbook"/>
          <w:color w:val="000000"/>
          <w:sz w:val="24"/>
          <w:szCs w:val="24"/>
        </w:rPr>
        <w:t>Lead counsel should not disclose information provided under a condition of confidentiality, including settlement discussions subject to confidentiality conditions, to plaintiffs or their retained counsel.</w:t>
      </w:r>
    </w:p>
    <w:p w14:paraId="476F0DA1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color w:val="000000"/>
          <w:sz w:val="24"/>
          <w:szCs w:val="24"/>
        </w:rPr>
      </w:pPr>
    </w:p>
    <w:p w14:paraId="0DA1811D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smallCaps/>
          <w:color w:val="000000"/>
          <w:sz w:val="24"/>
          <w:szCs w:val="24"/>
        </w:rPr>
        <w:t>MDL Standard 8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: </w:t>
      </w:r>
      <w:r w:rsidRPr="00573FA5">
        <w:rPr>
          <w:rFonts w:ascii="Century Schoolbook" w:hAnsi="Century Schoolbook"/>
          <w:color w:val="000000"/>
          <w:sz w:val="24"/>
          <w:szCs w:val="24"/>
        </w:rPr>
        <w:t>Absent a compelling reason, lead counsel should not disclose confidential information, including confidential settlement discussions, to their own individually-retained clients.</w:t>
      </w:r>
    </w:p>
    <w:p w14:paraId="1C12D890" w14:textId="38150D4A" w:rsidR="00610156" w:rsidRPr="00573FA5" w:rsidRDefault="00610156" w:rsidP="00F84390">
      <w:pPr>
        <w:ind w:right="720"/>
        <w:contextualSpacing/>
        <w:rPr>
          <w:rFonts w:ascii="Century Schoolbook" w:hAnsi="Century Schoolbook"/>
          <w:b/>
          <w:smallCaps/>
          <w:color w:val="000000"/>
          <w:sz w:val="24"/>
          <w:szCs w:val="24"/>
        </w:rPr>
      </w:pPr>
    </w:p>
    <w:p w14:paraId="1A0AE016" w14:textId="01CC50A6" w:rsidR="00610156" w:rsidRPr="00573FA5" w:rsidRDefault="00CA3C6F" w:rsidP="00610156">
      <w:pPr>
        <w:ind w:left="720" w:right="720"/>
        <w:contextualSpacing/>
        <w:rPr>
          <w:rFonts w:ascii="Century Schoolbook" w:hAnsi="Century Schoolbook"/>
          <w:b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smallCaps/>
          <w:color w:val="000000"/>
          <w:sz w:val="24"/>
          <w:szCs w:val="24"/>
        </w:rPr>
        <w:t>MDL Standard 9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: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Lead counsel must disclose to individually-retained clients </w:t>
      </w:r>
      <w:r>
        <w:rPr>
          <w:rFonts w:ascii="Century Schoolbook" w:hAnsi="Century Schoolbook"/>
          <w:color w:val="000000"/>
          <w:sz w:val="24"/>
          <w:szCs w:val="24"/>
        </w:rPr>
        <w:t>their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 role as lead counsel.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</w:p>
    <w:p w14:paraId="4695658B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9A</w:t>
      </w:r>
      <w:r w:rsidRPr="00573FA5">
        <w:rPr>
          <w:rFonts w:ascii="Century Schoolbook" w:hAnsi="Century Schoolbook"/>
          <w:color w:val="000000"/>
          <w:sz w:val="24"/>
          <w:szCs w:val="24"/>
        </w:rPr>
        <w:t>: As soon as possible after appointment, lead counsel should advise individually-retained clients how the appointment may implicate the clients’ interests, including participation in decision-making dealing with selection of bellwether trials, allocation of common-benefit funds, litigation management strategy, and settlement negotiations.</w:t>
      </w:r>
      <w:r w:rsidRPr="00573FA5">
        <w:rPr>
          <w:rFonts w:ascii="Century Schoolbook" w:hAnsi="Century Schoolbook"/>
          <w:i/>
          <w:color w:val="000000"/>
          <w:sz w:val="24"/>
          <w:szCs w:val="24"/>
        </w:rPr>
        <w:t xml:space="preserve"> </w:t>
      </w:r>
    </w:p>
    <w:p w14:paraId="1AA55927" w14:textId="77777777" w:rsidR="00F84390" w:rsidRDefault="00F84390" w:rsidP="00610156">
      <w:pPr>
        <w:ind w:left="720" w:right="720"/>
        <w:contextualSpacing/>
        <w:jc w:val="both"/>
        <w:rPr>
          <w:rFonts w:ascii="Century Schoolbook" w:hAnsi="Century Schoolbook"/>
          <w:smallCaps/>
          <w:color w:val="000000"/>
          <w:sz w:val="24"/>
          <w:szCs w:val="24"/>
        </w:rPr>
      </w:pPr>
    </w:p>
    <w:p w14:paraId="65B291CF" w14:textId="26A17229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9B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: When </w:t>
      </w:r>
      <w:r>
        <w:rPr>
          <w:rFonts w:ascii="Century Schoolbook" w:hAnsi="Century Schoolbook"/>
          <w:color w:val="000000"/>
          <w:sz w:val="24"/>
          <w:szCs w:val="24"/>
        </w:rPr>
        <w:t xml:space="preserve">considering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an inventory or global settlement, lead counsel should fully inform individually-retained clients of the implications of the lead counsel appointment. </w:t>
      </w:r>
    </w:p>
    <w:p w14:paraId="0E909DA6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i/>
          <w:color w:val="000000"/>
          <w:sz w:val="24"/>
          <w:szCs w:val="24"/>
        </w:rPr>
      </w:pPr>
    </w:p>
    <w:p w14:paraId="78768CE1" w14:textId="69D3AEA1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9C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: Lead counsel must remain faithful to </w:t>
      </w:r>
      <w:r>
        <w:rPr>
          <w:rFonts w:ascii="Century Schoolbook" w:hAnsi="Century Schoolbook"/>
          <w:color w:val="000000"/>
          <w:sz w:val="24"/>
          <w:szCs w:val="24"/>
        </w:rPr>
        <w:t xml:space="preserve">their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obligations to the court as delineated in </w:t>
      </w:r>
      <w:r>
        <w:rPr>
          <w:rFonts w:ascii="Century Schoolbook" w:hAnsi="Century Schoolbook"/>
          <w:color w:val="000000"/>
          <w:sz w:val="24"/>
          <w:szCs w:val="24"/>
        </w:rPr>
        <w:t>the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 appointment order when engaging in confidential settlement discussions for individually-retained clients.</w:t>
      </w:r>
    </w:p>
    <w:p w14:paraId="77078CBF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i/>
          <w:color w:val="000000"/>
          <w:sz w:val="24"/>
          <w:szCs w:val="24"/>
        </w:rPr>
      </w:pPr>
    </w:p>
    <w:p w14:paraId="30AD6191" w14:textId="233AE382" w:rsidR="00610156" w:rsidRPr="00573FA5" w:rsidRDefault="00CA3C6F" w:rsidP="00F84390">
      <w:pPr>
        <w:ind w:left="720" w:right="720"/>
        <w:contextualSpacing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9D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: </w:t>
      </w:r>
      <w:r>
        <w:rPr>
          <w:rFonts w:ascii="Century Schoolbook" w:hAnsi="Century Schoolbook"/>
          <w:color w:val="000000"/>
          <w:sz w:val="24"/>
          <w:szCs w:val="24"/>
        </w:rPr>
        <w:t>Should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 the court </w:t>
      </w:r>
      <w:r>
        <w:rPr>
          <w:rFonts w:ascii="Century Schoolbook" w:hAnsi="Century Schoolbook"/>
          <w:color w:val="000000"/>
          <w:sz w:val="24"/>
          <w:szCs w:val="24"/>
        </w:rPr>
        <w:t xml:space="preserve">ever have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a concern that a settlement negotiated on behalf of lead counsel’s individually-retained clients </w:t>
      </w:r>
      <w:r>
        <w:rPr>
          <w:rFonts w:ascii="Century Schoolbook" w:hAnsi="Century Schoolbook"/>
          <w:color w:val="000000"/>
          <w:sz w:val="24"/>
          <w:szCs w:val="24"/>
        </w:rPr>
        <w:t xml:space="preserve">might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violate the terms of the court’s order appointing lead counsel, the court </w:t>
      </w:r>
      <w:r>
        <w:rPr>
          <w:rFonts w:ascii="Century Schoolbook" w:hAnsi="Century Schoolbook"/>
          <w:color w:val="000000"/>
          <w:sz w:val="24"/>
          <w:szCs w:val="24"/>
        </w:rPr>
        <w:t xml:space="preserve">should order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lead counsel to disclose the settlement terms in camera to a Special Master appointed for this purpose or, </w:t>
      </w:r>
      <w:r>
        <w:rPr>
          <w:rFonts w:ascii="Century Schoolbook" w:hAnsi="Century Schoolbook"/>
          <w:color w:val="000000"/>
          <w:sz w:val="24"/>
          <w:szCs w:val="24"/>
        </w:rPr>
        <w:t>if desired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, to the court itself. </w:t>
      </w:r>
    </w:p>
    <w:p w14:paraId="0684BD70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i/>
          <w:color w:val="000000"/>
          <w:sz w:val="24"/>
          <w:szCs w:val="24"/>
        </w:rPr>
      </w:pPr>
    </w:p>
    <w:p w14:paraId="10D8D149" w14:textId="77777777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9E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: Lead counsel should maximize the common and collective interests of all plaintiffs in negotiating a global settlement consistent with appointment. </w:t>
      </w:r>
    </w:p>
    <w:p w14:paraId="68E194BD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i/>
          <w:color w:val="000000"/>
          <w:sz w:val="24"/>
          <w:szCs w:val="24"/>
        </w:rPr>
      </w:pPr>
    </w:p>
    <w:p w14:paraId="0FBF897B" w14:textId="2AA0D0E3" w:rsidR="00610156" w:rsidRPr="00573FA5" w:rsidRDefault="00CA3C6F" w:rsidP="00F84390">
      <w:pPr>
        <w:ind w:left="720" w:right="720"/>
        <w:contextualSpacing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573FA5">
        <w:rPr>
          <w:rFonts w:ascii="Century Schoolbook" w:hAnsi="Century Schoolbook"/>
          <w:smallCaps/>
          <w:color w:val="000000"/>
          <w:sz w:val="24"/>
          <w:szCs w:val="24"/>
        </w:rPr>
        <w:t>Best Practice 9F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: </w:t>
      </w:r>
      <w:r>
        <w:rPr>
          <w:rFonts w:ascii="Century Schoolbook" w:hAnsi="Century Schoolbook"/>
          <w:color w:val="000000"/>
          <w:sz w:val="24"/>
          <w:szCs w:val="24"/>
        </w:rPr>
        <w:t>Consistent with existing attorney-client relationships, t</w:t>
      </w:r>
      <w:r w:rsidRPr="00573FA5">
        <w:rPr>
          <w:rFonts w:ascii="Century Schoolbook" w:hAnsi="Century Schoolbook"/>
          <w:color w:val="000000"/>
          <w:sz w:val="24"/>
          <w:szCs w:val="24"/>
        </w:rPr>
        <w:t>he court should consider entering an order authorizing confidential settlement negotiations.</w:t>
      </w:r>
    </w:p>
    <w:p w14:paraId="2A8755CE" w14:textId="77777777" w:rsidR="00610156" w:rsidRDefault="00610156" w:rsidP="00610156">
      <w:pPr>
        <w:contextualSpacing/>
        <w:jc w:val="center"/>
        <w:rPr>
          <w:rFonts w:ascii="Century Schoolbook" w:hAnsi="Century Schoolbook"/>
          <w:b/>
          <w:color w:val="000000"/>
          <w:sz w:val="24"/>
          <w:szCs w:val="24"/>
        </w:rPr>
      </w:pPr>
    </w:p>
    <w:p w14:paraId="4B8E0512" w14:textId="77777777" w:rsidR="00610156" w:rsidRPr="00573FA5" w:rsidRDefault="00CA3C6F" w:rsidP="00610156">
      <w:pPr>
        <w:contextualSpacing/>
        <w:jc w:val="center"/>
        <w:rPr>
          <w:rFonts w:ascii="Century Schoolbook" w:hAnsi="Century Schoolbook"/>
          <w:b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color w:val="000000"/>
          <w:sz w:val="24"/>
          <w:szCs w:val="24"/>
        </w:rPr>
        <w:t>CHAPTER 4</w:t>
      </w:r>
    </w:p>
    <w:p w14:paraId="22657163" w14:textId="77777777" w:rsidR="00610156" w:rsidRPr="00573FA5" w:rsidRDefault="00610156" w:rsidP="00610156">
      <w:pPr>
        <w:contextualSpacing/>
        <w:jc w:val="center"/>
        <w:rPr>
          <w:rFonts w:ascii="Century Schoolbook" w:hAnsi="Century Schoolbook"/>
          <w:b/>
          <w:color w:val="000000"/>
          <w:sz w:val="24"/>
          <w:szCs w:val="24"/>
        </w:rPr>
      </w:pPr>
    </w:p>
    <w:p w14:paraId="28BBA162" w14:textId="77777777" w:rsidR="00610156" w:rsidRPr="00573FA5" w:rsidRDefault="00CA3C6F" w:rsidP="00610156">
      <w:pPr>
        <w:contextualSpacing/>
        <w:jc w:val="center"/>
        <w:rPr>
          <w:rFonts w:ascii="Century Schoolbook" w:hAnsi="Century Schoolbook"/>
          <w:b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color w:val="000000"/>
          <w:sz w:val="24"/>
          <w:szCs w:val="24"/>
        </w:rPr>
        <w:t>ROLE OF NON-LEADERSHIP COUNSEL</w:t>
      </w:r>
    </w:p>
    <w:p w14:paraId="11A15FF6" w14:textId="4BE88843" w:rsidR="00610156" w:rsidRPr="00573FA5" w:rsidRDefault="00CA3C6F" w:rsidP="008E7FDF">
      <w:pPr>
        <w:contextualSpacing/>
        <w:rPr>
          <w:rFonts w:ascii="Century Schoolbook" w:hAnsi="Century Schoolbook"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color w:val="000000"/>
          <w:sz w:val="24"/>
          <w:szCs w:val="24"/>
        </w:rPr>
        <w:tab/>
      </w:r>
    </w:p>
    <w:p w14:paraId="76EB1FD4" w14:textId="1A655282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b/>
        </w:rPr>
      </w:pPr>
      <w:r w:rsidRPr="00573FA5">
        <w:rPr>
          <w:rFonts w:ascii="Century Schoolbook" w:hAnsi="Century Schoolbook"/>
          <w:b/>
          <w:smallCaps/>
        </w:rPr>
        <w:t>MDL Standard 10</w:t>
      </w:r>
      <w:r w:rsidRPr="00573FA5">
        <w:rPr>
          <w:rFonts w:ascii="Century Schoolbook" w:hAnsi="Century Schoolbook"/>
          <w:b/>
        </w:rPr>
        <w:t xml:space="preserve">: </w:t>
      </w:r>
      <w:r w:rsidRPr="00573FA5">
        <w:rPr>
          <w:rFonts w:ascii="Century Schoolbook" w:hAnsi="Century Schoolbook"/>
        </w:rPr>
        <w:t xml:space="preserve">Lead counsel </w:t>
      </w:r>
      <w:r>
        <w:rPr>
          <w:rFonts w:ascii="Century Schoolbook" w:hAnsi="Century Schoolbook"/>
        </w:rPr>
        <w:t xml:space="preserve">should establish processes that build consensus </w:t>
      </w:r>
      <w:r w:rsidRPr="00573FA5">
        <w:rPr>
          <w:rFonts w:ascii="Century Schoolbook" w:hAnsi="Century Schoolbook"/>
        </w:rPr>
        <w:t xml:space="preserve">among non-leadership counsel </w:t>
      </w:r>
      <w:r>
        <w:rPr>
          <w:rFonts w:ascii="Century Schoolbook" w:hAnsi="Century Schoolbook"/>
        </w:rPr>
        <w:t xml:space="preserve">as to </w:t>
      </w:r>
      <w:r w:rsidRPr="00573FA5">
        <w:rPr>
          <w:rFonts w:ascii="Century Schoolbook" w:hAnsi="Century Schoolbook"/>
        </w:rPr>
        <w:t>key decisions that lead to settlement.</w:t>
      </w:r>
    </w:p>
    <w:p w14:paraId="5B053F00" w14:textId="77777777" w:rsidR="00610156" w:rsidRPr="00573FA5" w:rsidRDefault="00610156" w:rsidP="00610156">
      <w:pPr>
        <w:pStyle w:val="BodyText"/>
        <w:ind w:firstLine="720"/>
        <w:contextualSpacing/>
        <w:rPr>
          <w:rFonts w:ascii="Century Schoolbook" w:hAnsi="Century Schoolbook"/>
        </w:rPr>
      </w:pPr>
    </w:p>
    <w:p w14:paraId="734ED8DC" w14:textId="2300128C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i/>
        </w:rPr>
      </w:pPr>
      <w:r w:rsidRPr="00573FA5">
        <w:rPr>
          <w:rFonts w:ascii="Century Schoolbook" w:hAnsi="Century Schoolbook"/>
          <w:smallCaps/>
        </w:rPr>
        <w:t>Best Practice 10A</w:t>
      </w:r>
      <w:r w:rsidRPr="00573FA5">
        <w:rPr>
          <w:rFonts w:ascii="Century Schoolbook" w:hAnsi="Century Schoolbook"/>
        </w:rPr>
        <w:t xml:space="preserve">: Lead counsel should </w:t>
      </w:r>
      <w:r>
        <w:rPr>
          <w:rFonts w:ascii="Century Schoolbook" w:hAnsi="Century Schoolbook"/>
        </w:rPr>
        <w:t xml:space="preserve">provide equal opportunity to </w:t>
      </w:r>
      <w:r w:rsidRPr="00573FA5">
        <w:rPr>
          <w:rFonts w:ascii="Century Schoolbook" w:hAnsi="Century Schoolbook"/>
        </w:rPr>
        <w:t>all willing and able counsel to participate in discovery and other MDL tasks.</w:t>
      </w:r>
    </w:p>
    <w:p w14:paraId="24F10FA3" w14:textId="77777777" w:rsidR="00610156" w:rsidRPr="00573FA5" w:rsidRDefault="00610156" w:rsidP="00610156">
      <w:pPr>
        <w:pStyle w:val="BodyText"/>
        <w:ind w:firstLine="720"/>
        <w:contextualSpacing/>
        <w:rPr>
          <w:rFonts w:ascii="Century Schoolbook" w:hAnsi="Century Schoolbook"/>
        </w:rPr>
      </w:pPr>
    </w:p>
    <w:p w14:paraId="4EF19F3B" w14:textId="75E792BA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</w:rPr>
      </w:pPr>
      <w:r w:rsidRPr="00573FA5">
        <w:rPr>
          <w:rFonts w:ascii="Century Schoolbook" w:hAnsi="Century Schoolbook"/>
          <w:smallCaps/>
        </w:rPr>
        <w:t>Best Practice 10B</w:t>
      </w:r>
      <w:r w:rsidRPr="00573FA5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Where t</w:t>
      </w:r>
      <w:r w:rsidRPr="00573FA5">
        <w:rPr>
          <w:rFonts w:ascii="Century Schoolbook" w:hAnsi="Century Schoolbook"/>
        </w:rPr>
        <w:t xml:space="preserve">he court </w:t>
      </w:r>
      <w:r>
        <w:rPr>
          <w:rFonts w:ascii="Century Schoolbook" w:hAnsi="Century Schoolbook"/>
        </w:rPr>
        <w:t xml:space="preserve">is advised of issues that </w:t>
      </w:r>
      <w:r w:rsidRPr="00573FA5">
        <w:rPr>
          <w:rFonts w:ascii="Century Schoolbook" w:hAnsi="Century Schoolbook"/>
        </w:rPr>
        <w:t xml:space="preserve">create potential </w:t>
      </w:r>
      <w:r w:rsidRPr="00573FA5">
        <w:rPr>
          <w:rFonts w:ascii="Century Schoolbook" w:hAnsi="Century Schoolbook"/>
        </w:rPr>
        <w:lastRenderedPageBreak/>
        <w:t>conflicts among counsel</w:t>
      </w:r>
      <w:r>
        <w:rPr>
          <w:rFonts w:ascii="Century Schoolbook" w:hAnsi="Century Schoolbook"/>
        </w:rPr>
        <w:t>,</w:t>
      </w:r>
      <w:r w:rsidRPr="00573FA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it </w:t>
      </w:r>
      <w:r w:rsidRPr="00573FA5">
        <w:rPr>
          <w:rFonts w:ascii="Century Schoolbook" w:hAnsi="Century Schoolbook"/>
        </w:rPr>
        <w:t xml:space="preserve">should </w:t>
      </w:r>
      <w:r>
        <w:rPr>
          <w:rFonts w:ascii="Century Schoolbook" w:hAnsi="Century Schoolbook"/>
        </w:rPr>
        <w:t xml:space="preserve">institute measures that </w:t>
      </w:r>
      <w:r w:rsidRPr="00573FA5">
        <w:rPr>
          <w:rFonts w:ascii="Century Schoolbook" w:hAnsi="Century Schoolbook"/>
        </w:rPr>
        <w:t>permit non-leadership counsel to provide input.</w:t>
      </w:r>
    </w:p>
    <w:p w14:paraId="26766B0F" w14:textId="77777777" w:rsidR="00610156" w:rsidRPr="00573FA5" w:rsidRDefault="00610156" w:rsidP="00610156">
      <w:pPr>
        <w:pStyle w:val="BodyText"/>
        <w:ind w:left="720" w:right="720"/>
        <w:contextualSpacing/>
        <w:rPr>
          <w:rFonts w:ascii="Century Schoolbook" w:hAnsi="Century Schoolbook"/>
          <w:i/>
        </w:rPr>
      </w:pPr>
    </w:p>
    <w:p w14:paraId="58013BC1" w14:textId="0F1B0B2E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573FA5">
        <w:rPr>
          <w:rFonts w:ascii="Century Schoolbook" w:hAnsi="Century Schoolbook"/>
          <w:b/>
          <w:smallCaps/>
          <w:color w:val="000000"/>
          <w:sz w:val="24"/>
          <w:szCs w:val="24"/>
        </w:rPr>
        <w:t>MDL Standard 11</w:t>
      </w:r>
      <w:r w:rsidRPr="00573FA5">
        <w:rPr>
          <w:rFonts w:ascii="Century Schoolbook" w:hAnsi="Century Schoolbook"/>
          <w:b/>
          <w:color w:val="000000"/>
          <w:sz w:val="24"/>
          <w:szCs w:val="24"/>
        </w:rPr>
        <w:t xml:space="preserve">: </w:t>
      </w:r>
      <w:r w:rsidRPr="00573FA5">
        <w:rPr>
          <w:rFonts w:ascii="Century Schoolbook" w:hAnsi="Century Schoolbook"/>
          <w:color w:val="000000"/>
          <w:sz w:val="24"/>
          <w:szCs w:val="24"/>
        </w:rPr>
        <w:t xml:space="preserve">The court and lead counsel should develop practices to identify potential conflicts and disagreements early on between non-leadership counsel and lead counsel. </w:t>
      </w:r>
    </w:p>
    <w:p w14:paraId="425E4B0E" w14:textId="77777777" w:rsidR="00610156" w:rsidRPr="00573FA5" w:rsidRDefault="00610156" w:rsidP="00610156">
      <w:pPr>
        <w:ind w:left="720" w:right="720"/>
        <w:contextualSpacing/>
        <w:rPr>
          <w:rFonts w:ascii="Century Schoolbook" w:hAnsi="Century Schoolbook"/>
          <w:color w:val="000000"/>
          <w:sz w:val="24"/>
          <w:szCs w:val="24"/>
        </w:rPr>
      </w:pPr>
    </w:p>
    <w:p w14:paraId="5D25444B" w14:textId="21B1FF67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i/>
        </w:rPr>
      </w:pPr>
      <w:r w:rsidRPr="00573FA5">
        <w:rPr>
          <w:rFonts w:ascii="Century Schoolbook" w:hAnsi="Century Schoolbook"/>
          <w:smallCaps/>
        </w:rPr>
        <w:t>Best Practice 11A</w:t>
      </w:r>
      <w:r w:rsidRPr="00573FA5">
        <w:rPr>
          <w:rFonts w:ascii="Century Schoolbook" w:hAnsi="Century Schoolbook"/>
        </w:rPr>
        <w:t xml:space="preserve">: The court </w:t>
      </w:r>
      <w:r w:rsidR="00404174">
        <w:rPr>
          <w:rFonts w:ascii="Century Schoolbook" w:hAnsi="Century Schoolbook"/>
        </w:rPr>
        <w:t>should</w:t>
      </w:r>
      <w:r>
        <w:rPr>
          <w:rFonts w:ascii="Century Schoolbook" w:hAnsi="Century Schoolbook"/>
        </w:rPr>
        <w:t xml:space="preserve"> issue </w:t>
      </w:r>
      <w:r w:rsidRPr="00573FA5">
        <w:rPr>
          <w:rFonts w:ascii="Century Schoolbook" w:hAnsi="Century Schoolbook"/>
        </w:rPr>
        <w:t xml:space="preserve">case-management order </w:t>
      </w:r>
      <w:r>
        <w:rPr>
          <w:rFonts w:ascii="Century Schoolbook" w:hAnsi="Century Schoolbook"/>
        </w:rPr>
        <w:t xml:space="preserve">delineating </w:t>
      </w:r>
      <w:r w:rsidRPr="00573FA5">
        <w:rPr>
          <w:rFonts w:ascii="Century Schoolbook" w:hAnsi="Century Schoolbook"/>
        </w:rPr>
        <w:t>the roles and obligations of lead counsel</w:t>
      </w:r>
      <w:r>
        <w:rPr>
          <w:rFonts w:ascii="Century Schoolbook" w:hAnsi="Century Schoolbook"/>
        </w:rPr>
        <w:t>, any liaison counsel,</w:t>
      </w:r>
      <w:r w:rsidRPr="00573FA5">
        <w:rPr>
          <w:rFonts w:ascii="Century Schoolbook" w:hAnsi="Century Schoolbook"/>
        </w:rPr>
        <w:t xml:space="preserve"> and plaintiffs’ counsel in individual cases.</w:t>
      </w:r>
      <w:r w:rsidRPr="00573FA5">
        <w:rPr>
          <w:rFonts w:ascii="Century Schoolbook" w:hAnsi="Century Schoolbook"/>
          <w:i/>
        </w:rPr>
        <w:t xml:space="preserve"> </w:t>
      </w:r>
    </w:p>
    <w:p w14:paraId="79B9E1A3" w14:textId="77777777" w:rsidR="00610156" w:rsidRPr="00573FA5" w:rsidRDefault="00610156" w:rsidP="00610156">
      <w:pPr>
        <w:pStyle w:val="BodyText"/>
        <w:ind w:left="720" w:right="720"/>
        <w:contextualSpacing/>
        <w:rPr>
          <w:rFonts w:ascii="Century Schoolbook" w:hAnsi="Century Schoolbook"/>
          <w:i/>
        </w:rPr>
      </w:pPr>
    </w:p>
    <w:p w14:paraId="3044854E" w14:textId="2B562091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i/>
        </w:rPr>
      </w:pPr>
      <w:r w:rsidRPr="00573FA5">
        <w:rPr>
          <w:rFonts w:ascii="Century Schoolbook" w:hAnsi="Century Schoolbook"/>
          <w:smallCaps/>
        </w:rPr>
        <w:t>Best Practice 11B</w:t>
      </w:r>
      <w:r w:rsidRPr="00573FA5">
        <w:rPr>
          <w:rFonts w:ascii="Century Schoolbook" w:hAnsi="Century Schoolbook"/>
        </w:rPr>
        <w:t xml:space="preserve">: A transferee judge should be alert throughout the MDL proceedings </w:t>
      </w:r>
      <w:r>
        <w:rPr>
          <w:rFonts w:ascii="Century Schoolbook" w:hAnsi="Century Schoolbook"/>
        </w:rPr>
        <w:t>for</w:t>
      </w:r>
      <w:r w:rsidRPr="00573FA5">
        <w:rPr>
          <w:rFonts w:ascii="Century Schoolbook" w:hAnsi="Century Schoolbook"/>
        </w:rPr>
        <w:t xml:space="preserve"> potential and emerging disagreements and conflicts between lead and non-lead counsel.</w:t>
      </w:r>
    </w:p>
    <w:p w14:paraId="4FBAD388" w14:textId="77777777" w:rsidR="00610156" w:rsidRPr="00573FA5" w:rsidRDefault="00610156" w:rsidP="00610156">
      <w:pPr>
        <w:pStyle w:val="BodyText"/>
        <w:ind w:left="720" w:right="720"/>
        <w:contextualSpacing/>
        <w:rPr>
          <w:rFonts w:ascii="Century Schoolbook" w:hAnsi="Century Schoolbook"/>
          <w:i/>
        </w:rPr>
      </w:pPr>
    </w:p>
    <w:p w14:paraId="2C20E44B" w14:textId="558F317C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i/>
        </w:rPr>
      </w:pPr>
      <w:r w:rsidRPr="00573FA5">
        <w:rPr>
          <w:rFonts w:ascii="Century Schoolbook" w:hAnsi="Century Schoolbook"/>
          <w:smallCaps/>
        </w:rPr>
        <w:t>Best Practice 11C</w:t>
      </w:r>
      <w:r w:rsidRPr="00573FA5">
        <w:rPr>
          <w:rFonts w:ascii="Century Schoolbook" w:hAnsi="Century Schoolbook"/>
        </w:rPr>
        <w:t>: The court should consider a reappointment process for lead counsel as a means of discovering serious conflicts, if any, between lead and non-leadership counsel.</w:t>
      </w:r>
    </w:p>
    <w:p w14:paraId="04E2E2FF" w14:textId="77777777" w:rsidR="00610156" w:rsidRPr="00573FA5" w:rsidRDefault="00610156" w:rsidP="00610156">
      <w:pPr>
        <w:pStyle w:val="BodyText"/>
        <w:ind w:left="720" w:right="720"/>
        <w:contextualSpacing/>
        <w:rPr>
          <w:rFonts w:ascii="Century Schoolbook" w:hAnsi="Century Schoolbook"/>
          <w:i/>
        </w:rPr>
      </w:pPr>
    </w:p>
    <w:p w14:paraId="114E764C" w14:textId="7134D47E" w:rsidR="00610156" w:rsidRPr="00573FA5" w:rsidRDefault="00CA3C6F" w:rsidP="00610156">
      <w:pPr>
        <w:pStyle w:val="BodyText"/>
        <w:ind w:left="720" w:right="720"/>
        <w:contextualSpacing/>
        <w:jc w:val="both"/>
        <w:rPr>
          <w:rFonts w:ascii="Century Schoolbook" w:hAnsi="Century Schoolbook"/>
          <w:i/>
        </w:rPr>
      </w:pPr>
      <w:r w:rsidRPr="00573FA5">
        <w:rPr>
          <w:rFonts w:ascii="Century Schoolbook" w:hAnsi="Century Schoolbook"/>
          <w:smallCaps/>
        </w:rPr>
        <w:lastRenderedPageBreak/>
        <w:t>Best Practice 11D</w:t>
      </w:r>
      <w:r w:rsidRPr="00573FA5">
        <w:rPr>
          <w:rFonts w:ascii="Century Schoolbook" w:hAnsi="Century Schoolbook"/>
        </w:rPr>
        <w:t>: As part of the reappointment process, the court should requir</w:t>
      </w:r>
      <w:r>
        <w:rPr>
          <w:rFonts w:ascii="Century Schoolbook" w:hAnsi="Century Schoolbook"/>
        </w:rPr>
        <w:t>e</w:t>
      </w:r>
      <w:r w:rsidRPr="00573FA5">
        <w:rPr>
          <w:rFonts w:ascii="Century Schoolbook" w:hAnsi="Century Schoolbook"/>
        </w:rPr>
        <w:t xml:space="preserve"> lead counsel to report on </w:t>
      </w:r>
      <w:r w:rsidR="00404174">
        <w:rPr>
          <w:rFonts w:ascii="Century Schoolbook" w:hAnsi="Century Schoolbook"/>
        </w:rPr>
        <w:t xml:space="preserve">their </w:t>
      </w:r>
      <w:r w:rsidRPr="00573FA5">
        <w:rPr>
          <w:rFonts w:ascii="Century Schoolbook" w:hAnsi="Century Schoolbook"/>
        </w:rPr>
        <w:t xml:space="preserve">exercise </w:t>
      </w:r>
      <w:r>
        <w:rPr>
          <w:rFonts w:ascii="Century Schoolbook" w:hAnsi="Century Schoolbook"/>
        </w:rPr>
        <w:t xml:space="preserve">of </w:t>
      </w:r>
      <w:r w:rsidRPr="00573FA5">
        <w:rPr>
          <w:rFonts w:ascii="Century Schoolbook" w:hAnsi="Century Schoolbook"/>
        </w:rPr>
        <w:t>MDL obligations, including communication with non-leadership lawyers.</w:t>
      </w:r>
    </w:p>
    <w:p w14:paraId="0A1CFF5B" w14:textId="77777777" w:rsidR="00610156" w:rsidRPr="00573FA5" w:rsidRDefault="00610156" w:rsidP="00610156">
      <w:pPr>
        <w:pStyle w:val="BodyText"/>
        <w:ind w:left="720" w:right="720"/>
        <w:contextualSpacing/>
        <w:rPr>
          <w:rFonts w:ascii="Century Schoolbook" w:hAnsi="Century Schoolbook"/>
          <w:i/>
        </w:rPr>
      </w:pPr>
    </w:p>
    <w:p w14:paraId="52678149" w14:textId="77777777" w:rsidR="00610156" w:rsidRDefault="00CA3C6F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t>CHAPTER 5</w:t>
      </w:r>
    </w:p>
    <w:p w14:paraId="67D7B07F" w14:textId="77777777" w:rsidR="00610156" w:rsidRPr="00750975" w:rsidRDefault="00610156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</w:p>
    <w:p w14:paraId="589AF651" w14:textId="77777777" w:rsidR="00610156" w:rsidRPr="00750975" w:rsidRDefault="00CA3C6F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t>ESTABLISHMENT AND USE OF COMMON FUNDS</w:t>
      </w:r>
    </w:p>
    <w:p w14:paraId="6A9B928B" w14:textId="1FF14E6D" w:rsidR="00F22AE3" w:rsidRDefault="00CA3C6F" w:rsidP="00F22AE3">
      <w:pPr>
        <w:spacing w:after="240"/>
        <w:jc w:val="center"/>
        <w:rPr>
          <w:rFonts w:ascii="Century Schoolbook" w:hAnsi="Century Schoolbook"/>
          <w:sz w:val="24"/>
          <w:szCs w:val="24"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t>….</w:t>
      </w:r>
      <w:r w:rsidR="00F22AE3">
        <w:rPr>
          <w:rFonts w:ascii="Century Schoolbook" w:hAnsi="Century Schoolbook"/>
          <w:sz w:val="24"/>
          <w:szCs w:val="24"/>
        </w:rPr>
        <w:t>[</w:t>
      </w:r>
      <w:r w:rsidR="00BC2CA2">
        <w:rPr>
          <w:rFonts w:ascii="Century Schoolbook" w:hAnsi="Century Schoolbook"/>
          <w:sz w:val="24"/>
          <w:szCs w:val="24"/>
        </w:rPr>
        <w:t>Material o</w:t>
      </w:r>
      <w:r w:rsidR="00F22AE3">
        <w:rPr>
          <w:rFonts w:ascii="Century Schoolbook" w:hAnsi="Century Schoolbook"/>
          <w:sz w:val="24"/>
          <w:szCs w:val="24"/>
        </w:rPr>
        <w:t>mitted from 2014 MDL Standards and Best Practices.]</w:t>
      </w:r>
    </w:p>
    <w:p w14:paraId="0DE097D4" w14:textId="20F8B0DB" w:rsidR="00610156" w:rsidRPr="00750975" w:rsidRDefault="00CA3C6F" w:rsidP="005B39DA">
      <w:pPr>
        <w:spacing w:after="240"/>
        <w:jc w:val="center"/>
        <w:rPr>
          <w:rFonts w:ascii="Century Schoolbook" w:hAnsi="Century Schoolbook"/>
          <w:b/>
          <w:smallCaps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lastRenderedPageBreak/>
        <w:t>CHAPTER 6</w:t>
      </w:r>
    </w:p>
    <w:p w14:paraId="7C2D57C2" w14:textId="77777777" w:rsidR="00610156" w:rsidRPr="00750975" w:rsidRDefault="00CA3C6F" w:rsidP="00610156">
      <w:pPr>
        <w:pStyle w:val="Default"/>
        <w:contextualSpacing/>
        <w:jc w:val="center"/>
        <w:rPr>
          <w:rFonts w:ascii="Century Schoolbook" w:hAnsi="Century Schoolbook"/>
          <w:smallCaps/>
        </w:rPr>
      </w:pPr>
      <w:r w:rsidRPr="00750975">
        <w:rPr>
          <w:rFonts w:ascii="Century Schoolbook" w:hAnsi="Century Schoolbook"/>
          <w:b/>
          <w:smallCaps/>
        </w:rPr>
        <w:t>SETTLEMENT REVIEW AND CLAIMS-PROCESSING ADMINISTRATION</w:t>
      </w:r>
    </w:p>
    <w:p w14:paraId="728CB312" w14:textId="77777777" w:rsidR="00610156" w:rsidRPr="00573FA5" w:rsidRDefault="00610156" w:rsidP="00610156">
      <w:pPr>
        <w:pStyle w:val="Default"/>
        <w:contextualSpacing/>
        <w:rPr>
          <w:rFonts w:ascii="Century Schoolbook" w:hAnsi="Century Schoolbook"/>
          <w:color w:val="auto"/>
        </w:rPr>
      </w:pPr>
    </w:p>
    <w:p w14:paraId="1ABEB4A6" w14:textId="316E82C9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b/>
          <w:color w:val="auto"/>
        </w:rPr>
      </w:pPr>
      <w:r w:rsidRPr="00573FA5">
        <w:rPr>
          <w:rFonts w:ascii="Century Schoolbook" w:hAnsi="Century Schoolbook"/>
          <w:b/>
          <w:smallCaps/>
          <w:color w:val="auto"/>
        </w:rPr>
        <w:t>MDL Standard 13</w:t>
      </w:r>
      <w:r w:rsidRPr="00573FA5">
        <w:rPr>
          <w:rFonts w:ascii="Century Schoolbook" w:hAnsi="Century Schoolbook"/>
          <w:b/>
          <w:color w:val="auto"/>
        </w:rPr>
        <w:t xml:space="preserve">: </w:t>
      </w:r>
      <w:r w:rsidRPr="00573FA5">
        <w:rPr>
          <w:rFonts w:ascii="Century Schoolbook" w:hAnsi="Century Schoolbook"/>
          <w:color w:val="auto"/>
        </w:rPr>
        <w:t xml:space="preserve">If the parties indicate a willingness to negotiate settlement, the MDL judge should facilitate negotiations, but </w:t>
      </w:r>
      <w:r>
        <w:rPr>
          <w:rFonts w:ascii="Century Schoolbook" w:hAnsi="Century Schoolbook"/>
          <w:color w:val="auto"/>
        </w:rPr>
        <w:t xml:space="preserve">judges should </w:t>
      </w:r>
      <w:r w:rsidRPr="00573FA5">
        <w:rPr>
          <w:rFonts w:ascii="Century Schoolbook" w:hAnsi="Century Schoolbook"/>
          <w:color w:val="auto"/>
        </w:rPr>
        <w:t>not impose settlement negotiations on unwilling parties.</w:t>
      </w:r>
      <w:r w:rsidRPr="00573FA5">
        <w:rPr>
          <w:rFonts w:ascii="Century Schoolbook" w:hAnsi="Century Schoolbook"/>
          <w:b/>
          <w:color w:val="auto"/>
        </w:rPr>
        <w:t xml:space="preserve"> </w:t>
      </w:r>
    </w:p>
    <w:p w14:paraId="6A9E6869" w14:textId="77777777" w:rsidR="00610156" w:rsidRPr="00573FA5" w:rsidRDefault="00610156" w:rsidP="00610156">
      <w:pPr>
        <w:tabs>
          <w:tab w:val="left" w:pos="4320"/>
        </w:tabs>
        <w:ind w:firstLine="720"/>
        <w:contextualSpacing/>
        <w:rPr>
          <w:rFonts w:ascii="Century Schoolbook" w:hAnsi="Century Schoolbook"/>
          <w:sz w:val="24"/>
          <w:szCs w:val="24"/>
        </w:rPr>
      </w:pPr>
    </w:p>
    <w:p w14:paraId="5A187FED" w14:textId="7FFDB1BE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13A</w:t>
      </w:r>
      <w:r w:rsidRPr="00573FA5">
        <w:rPr>
          <w:rFonts w:ascii="Century Schoolbook" w:hAnsi="Century Schoolbook"/>
          <w:sz w:val="24"/>
          <w:szCs w:val="24"/>
        </w:rPr>
        <w:t>: If the parties have indicated a willingness to begin settlement negotiations, a settlement master can play a valuable role at the appropriate stage.</w:t>
      </w:r>
    </w:p>
    <w:p w14:paraId="78F083A2" w14:textId="77777777" w:rsidR="00610156" w:rsidRPr="00573FA5" w:rsidRDefault="00610156" w:rsidP="00610156">
      <w:pPr>
        <w:contextualSpacing/>
        <w:rPr>
          <w:rFonts w:ascii="Century Schoolbook" w:hAnsi="Century Schoolbook"/>
          <w:sz w:val="24"/>
          <w:szCs w:val="24"/>
        </w:rPr>
      </w:pPr>
    </w:p>
    <w:p w14:paraId="3432A4C4" w14:textId="123116FD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color w:val="auto"/>
        </w:rPr>
      </w:pPr>
      <w:r w:rsidRPr="00573FA5">
        <w:rPr>
          <w:rFonts w:ascii="Century Schoolbook" w:hAnsi="Century Schoolbook"/>
          <w:smallCaps/>
          <w:color w:val="auto"/>
        </w:rPr>
        <w:t>Best Practice 13B</w:t>
      </w:r>
      <w:r w:rsidRPr="00573FA5">
        <w:rPr>
          <w:rFonts w:ascii="Century Schoolbook" w:hAnsi="Century Schoolbook"/>
          <w:color w:val="auto"/>
        </w:rPr>
        <w:t xml:space="preserve">: The parties should consider </w:t>
      </w:r>
      <w:r>
        <w:rPr>
          <w:rFonts w:ascii="Century Schoolbook" w:hAnsi="Century Schoolbook"/>
          <w:color w:val="auto"/>
        </w:rPr>
        <w:t xml:space="preserve">appointment of </w:t>
      </w:r>
      <w:r w:rsidRPr="00573FA5">
        <w:rPr>
          <w:rFonts w:ascii="Century Schoolbook" w:hAnsi="Century Schoolbook"/>
          <w:color w:val="auto"/>
        </w:rPr>
        <w:t xml:space="preserve">a settlement master as soon as they are willing to begin settlement negotiations. </w:t>
      </w:r>
    </w:p>
    <w:p w14:paraId="15E7C122" w14:textId="5D64E047" w:rsidR="00610156" w:rsidRDefault="00610156" w:rsidP="00610156">
      <w:pPr>
        <w:pStyle w:val="Default"/>
        <w:ind w:left="720" w:right="720"/>
        <w:contextualSpacing/>
        <w:rPr>
          <w:rFonts w:ascii="Century Schoolbook" w:hAnsi="Century Schoolbook"/>
          <w:color w:val="auto"/>
        </w:rPr>
      </w:pPr>
    </w:p>
    <w:p w14:paraId="01FCE2E2" w14:textId="77777777" w:rsidR="008E7FDF" w:rsidRPr="00573FA5" w:rsidRDefault="008E7FDF" w:rsidP="00610156">
      <w:pPr>
        <w:pStyle w:val="Default"/>
        <w:ind w:left="720" w:right="720"/>
        <w:contextualSpacing/>
        <w:rPr>
          <w:rFonts w:ascii="Century Schoolbook" w:hAnsi="Century Schoolbook"/>
          <w:color w:val="auto"/>
        </w:rPr>
      </w:pPr>
    </w:p>
    <w:p w14:paraId="653FAC45" w14:textId="489C0BF9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b/>
          <w:sz w:val="24"/>
          <w:szCs w:val="24"/>
        </w:rPr>
      </w:pPr>
      <w:r w:rsidRPr="00573FA5">
        <w:rPr>
          <w:rFonts w:ascii="Century Schoolbook" w:hAnsi="Century Schoolbook"/>
          <w:b/>
          <w:smallCaps/>
          <w:sz w:val="24"/>
          <w:szCs w:val="24"/>
        </w:rPr>
        <w:t>MDL Standard 14</w:t>
      </w:r>
      <w:r w:rsidRPr="00573FA5">
        <w:rPr>
          <w:rFonts w:ascii="Century Schoolbook" w:hAnsi="Century Schoolbook"/>
          <w:b/>
          <w:sz w:val="24"/>
          <w:szCs w:val="24"/>
        </w:rPr>
        <w:t xml:space="preserve">: </w:t>
      </w:r>
      <w:r w:rsidRPr="00573FA5">
        <w:rPr>
          <w:rFonts w:ascii="Century Schoolbook" w:hAnsi="Century Schoolbook"/>
          <w:sz w:val="24"/>
          <w:szCs w:val="24"/>
        </w:rPr>
        <w:t xml:space="preserve">The parties must advise the MDL court upon </w:t>
      </w:r>
      <w:r>
        <w:rPr>
          <w:rFonts w:ascii="Century Schoolbook" w:hAnsi="Century Schoolbook"/>
          <w:sz w:val="24"/>
          <w:szCs w:val="24"/>
        </w:rPr>
        <w:t xml:space="preserve">reaching </w:t>
      </w:r>
      <w:r w:rsidRPr="00573FA5">
        <w:rPr>
          <w:rFonts w:ascii="Century Schoolbook" w:hAnsi="Century Schoolbook"/>
          <w:sz w:val="24"/>
          <w:szCs w:val="24"/>
        </w:rPr>
        <w:t xml:space="preserve">a settlement agreement and must provide the court with information concerning the settlement, which </w:t>
      </w:r>
      <w:r>
        <w:rPr>
          <w:rFonts w:ascii="Century Schoolbook" w:hAnsi="Century Schoolbook"/>
          <w:sz w:val="24"/>
          <w:szCs w:val="24"/>
        </w:rPr>
        <w:t xml:space="preserve">information </w:t>
      </w:r>
      <w:r w:rsidRPr="00573FA5">
        <w:rPr>
          <w:rFonts w:ascii="Century Schoolbook" w:hAnsi="Century Schoolbook"/>
          <w:sz w:val="24"/>
          <w:szCs w:val="24"/>
        </w:rPr>
        <w:t>will differ based on whether the settlement is a global or inventory settlement.</w:t>
      </w:r>
    </w:p>
    <w:p w14:paraId="56C0CC4D" w14:textId="77777777" w:rsidR="00610156" w:rsidRPr="00573FA5" w:rsidRDefault="00610156" w:rsidP="00610156">
      <w:pPr>
        <w:contextualSpacing/>
        <w:rPr>
          <w:rFonts w:ascii="Century Schoolbook" w:hAnsi="Century Schoolbook"/>
          <w:sz w:val="24"/>
          <w:szCs w:val="24"/>
        </w:rPr>
      </w:pPr>
    </w:p>
    <w:p w14:paraId="63C1FB37" w14:textId="707EA073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b/>
          <w:sz w:val="24"/>
          <w:szCs w:val="24"/>
        </w:rPr>
      </w:pPr>
      <w:r w:rsidRPr="00573FA5">
        <w:rPr>
          <w:rFonts w:ascii="Century Schoolbook" w:hAnsi="Century Schoolbook"/>
          <w:b/>
          <w:smallCaps/>
          <w:sz w:val="24"/>
          <w:szCs w:val="24"/>
        </w:rPr>
        <w:t>MDL Standard 15</w:t>
      </w:r>
      <w:r w:rsidRPr="00573FA5">
        <w:rPr>
          <w:rFonts w:ascii="Century Schoolbook" w:hAnsi="Century Schoolbook"/>
          <w:b/>
          <w:sz w:val="24"/>
          <w:szCs w:val="24"/>
        </w:rPr>
        <w:t xml:space="preserve">: </w:t>
      </w:r>
      <w:r w:rsidRPr="00573FA5">
        <w:rPr>
          <w:rFonts w:ascii="Century Schoolbook" w:hAnsi="Century Schoolbook"/>
          <w:sz w:val="24"/>
          <w:szCs w:val="24"/>
        </w:rPr>
        <w:t xml:space="preserve">For global settlements, which </w:t>
      </w:r>
      <w:r>
        <w:rPr>
          <w:rFonts w:ascii="Century Schoolbook" w:hAnsi="Century Schoolbook"/>
          <w:sz w:val="24"/>
          <w:szCs w:val="24"/>
        </w:rPr>
        <w:t xml:space="preserve">will </w:t>
      </w:r>
      <w:r w:rsidRPr="00573FA5">
        <w:rPr>
          <w:rFonts w:ascii="Century Schoolbook" w:hAnsi="Century Schoolbook"/>
          <w:sz w:val="24"/>
          <w:szCs w:val="24"/>
        </w:rPr>
        <w:t>resol</w:t>
      </w:r>
      <w:r>
        <w:rPr>
          <w:rFonts w:ascii="Century Schoolbook" w:hAnsi="Century Schoolbook"/>
          <w:sz w:val="24"/>
          <w:szCs w:val="24"/>
        </w:rPr>
        <w:t xml:space="preserve">ve </w:t>
      </w:r>
      <w:r w:rsidRPr="00573FA5">
        <w:rPr>
          <w:rFonts w:ascii="Century Schoolbook" w:hAnsi="Century Schoolbook"/>
          <w:sz w:val="24"/>
          <w:szCs w:val="24"/>
        </w:rPr>
        <w:t xml:space="preserve">an entire MDL, the court should ensure the integrity and transparency of the </w:t>
      </w:r>
      <w:r w:rsidR="00404174">
        <w:rPr>
          <w:rFonts w:ascii="Century Schoolbook" w:hAnsi="Century Schoolbook"/>
          <w:sz w:val="24"/>
          <w:szCs w:val="24"/>
        </w:rPr>
        <w:t xml:space="preserve">process that led to the </w:t>
      </w:r>
      <w:r w:rsidRPr="00573FA5">
        <w:rPr>
          <w:rFonts w:ascii="Century Schoolbook" w:hAnsi="Century Schoolbook"/>
          <w:sz w:val="24"/>
          <w:szCs w:val="24"/>
        </w:rPr>
        <w:t>settlement agreement, including the claims process.</w:t>
      </w:r>
      <w:r w:rsidRPr="00573FA5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23CF5F9F" w14:textId="77777777" w:rsidR="00610156" w:rsidRPr="00573FA5" w:rsidRDefault="00610156" w:rsidP="00610156">
      <w:pPr>
        <w:contextualSpacing/>
        <w:rPr>
          <w:rFonts w:ascii="Century Schoolbook" w:hAnsi="Century Schoolbook"/>
          <w:sz w:val="24"/>
          <w:szCs w:val="24"/>
        </w:rPr>
      </w:pPr>
    </w:p>
    <w:p w14:paraId="734F60D1" w14:textId="2A50D9D2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i/>
          <w:color w:val="auto"/>
        </w:rPr>
      </w:pPr>
      <w:r w:rsidRPr="00573FA5">
        <w:rPr>
          <w:rFonts w:ascii="Century Schoolbook" w:hAnsi="Century Schoolbook"/>
          <w:smallCaps/>
          <w:color w:val="auto"/>
        </w:rPr>
        <w:t>Best Practice 15A</w:t>
      </w:r>
      <w:r w:rsidRPr="00573FA5">
        <w:rPr>
          <w:rFonts w:ascii="Century Schoolbook" w:hAnsi="Century Schoolbook"/>
          <w:color w:val="auto"/>
        </w:rPr>
        <w:t xml:space="preserve">: </w:t>
      </w:r>
      <w:r>
        <w:rPr>
          <w:rFonts w:ascii="Century Schoolbook" w:hAnsi="Century Schoolbook"/>
          <w:color w:val="auto"/>
        </w:rPr>
        <w:t xml:space="preserve">Upon reaching </w:t>
      </w:r>
      <w:r w:rsidRPr="00573FA5">
        <w:rPr>
          <w:rFonts w:ascii="Century Schoolbook" w:hAnsi="Century Schoolbook"/>
          <w:color w:val="auto"/>
        </w:rPr>
        <w:t xml:space="preserve">a global settlement, the parties should provide the transferee judge with information concerning the allocation model </w:t>
      </w:r>
      <w:r w:rsidRPr="00573FA5">
        <w:rPr>
          <w:rFonts w:ascii="Century Schoolbook" w:hAnsi="Century Schoolbook"/>
          <w:color w:val="auto"/>
        </w:rPr>
        <w:lastRenderedPageBreak/>
        <w:t>specified by the settlement (including eligibility criteria), distribution system, minimum participation rate, and provisions accounting for any distributions for extraordinary circumstances.</w:t>
      </w:r>
    </w:p>
    <w:p w14:paraId="09299CAD" w14:textId="77777777" w:rsidR="00610156" w:rsidRPr="00573FA5" w:rsidRDefault="00610156" w:rsidP="00610156">
      <w:pPr>
        <w:pStyle w:val="Default"/>
        <w:ind w:left="720" w:right="720"/>
        <w:contextualSpacing/>
        <w:rPr>
          <w:rFonts w:ascii="Century Schoolbook" w:hAnsi="Century Schoolbook"/>
          <w:smallCaps/>
          <w:color w:val="auto"/>
        </w:rPr>
      </w:pPr>
    </w:p>
    <w:p w14:paraId="1C6C5CC6" w14:textId="77777777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i/>
          <w:color w:val="auto"/>
        </w:rPr>
      </w:pPr>
      <w:r w:rsidRPr="00573FA5">
        <w:rPr>
          <w:rFonts w:ascii="Century Schoolbook" w:hAnsi="Century Schoolbook"/>
          <w:smallCaps/>
          <w:color w:val="auto"/>
        </w:rPr>
        <w:t>Best Practice 15B</w:t>
      </w:r>
      <w:r w:rsidRPr="00573FA5">
        <w:rPr>
          <w:rFonts w:ascii="Century Schoolbook" w:hAnsi="Century Schoolbook"/>
          <w:color w:val="auto"/>
        </w:rPr>
        <w:t>: The parties should advise the transferee judge of any minimum percentage or number of cases disposed of by a global settlement.</w:t>
      </w:r>
    </w:p>
    <w:p w14:paraId="042FD171" w14:textId="77777777" w:rsidR="00610156" w:rsidRPr="00573FA5" w:rsidRDefault="00610156" w:rsidP="00610156">
      <w:pPr>
        <w:pStyle w:val="Default"/>
        <w:ind w:right="720"/>
        <w:contextualSpacing/>
        <w:rPr>
          <w:rFonts w:ascii="Century Schoolbook" w:hAnsi="Century Schoolbook"/>
          <w:color w:val="auto"/>
        </w:rPr>
      </w:pPr>
    </w:p>
    <w:p w14:paraId="123CACEB" w14:textId="77777777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i/>
          <w:color w:val="auto"/>
        </w:rPr>
      </w:pPr>
      <w:r w:rsidRPr="00573FA5">
        <w:rPr>
          <w:rFonts w:ascii="Century Schoolbook" w:hAnsi="Century Schoolbook"/>
          <w:smallCaps/>
          <w:color w:val="auto"/>
        </w:rPr>
        <w:lastRenderedPageBreak/>
        <w:t>Best Practice 15C</w:t>
      </w:r>
      <w:r w:rsidRPr="00573FA5">
        <w:rPr>
          <w:rFonts w:ascii="Century Schoolbook" w:hAnsi="Century Schoolbook"/>
          <w:color w:val="auto"/>
        </w:rPr>
        <w:t>: The parties should advise the transferee judge of any reserve allocated in the settlement to pay for extraordinary injuries.</w:t>
      </w:r>
      <w:r w:rsidRPr="00573FA5">
        <w:rPr>
          <w:rFonts w:ascii="Century Schoolbook" w:hAnsi="Century Schoolbook"/>
          <w:i/>
          <w:color w:val="auto"/>
        </w:rPr>
        <w:br/>
      </w:r>
    </w:p>
    <w:p w14:paraId="37E4921A" w14:textId="171B0D15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b/>
          <w:color w:val="auto"/>
        </w:rPr>
      </w:pPr>
      <w:r w:rsidRPr="00573FA5">
        <w:rPr>
          <w:rFonts w:ascii="Century Schoolbook" w:hAnsi="Century Schoolbook"/>
          <w:b/>
          <w:smallCaps/>
          <w:color w:val="auto"/>
        </w:rPr>
        <w:t>MDL Standard 16</w:t>
      </w:r>
      <w:r w:rsidRPr="00573FA5">
        <w:rPr>
          <w:rFonts w:ascii="Century Schoolbook" w:hAnsi="Century Schoolbook"/>
          <w:b/>
          <w:color w:val="auto"/>
        </w:rPr>
        <w:t xml:space="preserve">: </w:t>
      </w:r>
      <w:r w:rsidRPr="00573FA5">
        <w:rPr>
          <w:rFonts w:ascii="Century Schoolbook" w:hAnsi="Century Schoolbook"/>
          <w:color w:val="auto"/>
        </w:rPr>
        <w:t xml:space="preserve">The transferee judge should review the claims process to help facilitate </w:t>
      </w:r>
      <w:r>
        <w:rPr>
          <w:rFonts w:ascii="Century Schoolbook" w:hAnsi="Century Schoolbook"/>
          <w:color w:val="auto"/>
        </w:rPr>
        <w:t xml:space="preserve">claims </w:t>
      </w:r>
      <w:r w:rsidRPr="00573FA5">
        <w:rPr>
          <w:rFonts w:ascii="Century Schoolbook" w:hAnsi="Century Schoolbook"/>
          <w:color w:val="auto"/>
        </w:rPr>
        <w:t xml:space="preserve">processing and </w:t>
      </w:r>
      <w:r>
        <w:rPr>
          <w:rFonts w:ascii="Century Schoolbook" w:hAnsi="Century Schoolbook"/>
          <w:color w:val="auto"/>
        </w:rPr>
        <w:t xml:space="preserve">settlement </w:t>
      </w:r>
      <w:r w:rsidRPr="00573FA5">
        <w:rPr>
          <w:rFonts w:ascii="Century Schoolbook" w:hAnsi="Century Schoolbook"/>
          <w:color w:val="auto"/>
        </w:rPr>
        <w:t>distribut</w:t>
      </w:r>
      <w:r>
        <w:rPr>
          <w:rFonts w:ascii="Century Schoolbook" w:hAnsi="Century Schoolbook"/>
          <w:color w:val="auto"/>
        </w:rPr>
        <w:t>ion</w:t>
      </w:r>
      <w:r w:rsidRPr="00573FA5">
        <w:rPr>
          <w:rFonts w:ascii="Century Schoolbook" w:hAnsi="Century Schoolbook"/>
          <w:color w:val="auto"/>
        </w:rPr>
        <w:t>.</w:t>
      </w:r>
    </w:p>
    <w:p w14:paraId="56C5D2A6" w14:textId="77777777" w:rsidR="00610156" w:rsidRPr="00573FA5" w:rsidRDefault="00610156" w:rsidP="00610156">
      <w:pPr>
        <w:pStyle w:val="Default"/>
        <w:ind w:left="720" w:right="720"/>
        <w:contextualSpacing/>
        <w:rPr>
          <w:rFonts w:ascii="Century Schoolbook" w:hAnsi="Century Schoolbook"/>
          <w:color w:val="auto"/>
        </w:rPr>
      </w:pPr>
    </w:p>
    <w:p w14:paraId="7CB95B85" w14:textId="37B1CB5D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i/>
          <w:color w:val="auto"/>
        </w:rPr>
      </w:pPr>
      <w:r w:rsidRPr="00573FA5">
        <w:rPr>
          <w:rFonts w:ascii="Century Schoolbook" w:hAnsi="Century Schoolbook"/>
          <w:smallCaps/>
          <w:color w:val="auto"/>
        </w:rPr>
        <w:t xml:space="preserve">Best Practice </w:t>
      </w:r>
      <w:r w:rsidRPr="00573FA5">
        <w:rPr>
          <w:rFonts w:ascii="Century Schoolbook" w:hAnsi="Century Schoolbook"/>
          <w:smallCaps/>
        </w:rPr>
        <w:t>16A</w:t>
      </w:r>
      <w:r w:rsidRPr="00573FA5">
        <w:rPr>
          <w:rFonts w:ascii="Century Schoolbook" w:hAnsi="Century Schoolbook"/>
        </w:rPr>
        <w:t>: In a large MDL involving many claimants, a Qualified Settlement Fund (“QSF”) provide</w:t>
      </w:r>
      <w:r>
        <w:rPr>
          <w:rFonts w:ascii="Century Schoolbook" w:hAnsi="Century Schoolbook"/>
        </w:rPr>
        <w:t>s</w:t>
      </w:r>
      <w:r w:rsidRPr="00573FA5">
        <w:rPr>
          <w:rFonts w:ascii="Century Schoolbook" w:hAnsi="Century Schoolbook"/>
        </w:rPr>
        <w:t xml:space="preserve"> significant administrative convenience for the court and parties and offers favorable tax advantages to the parties.</w:t>
      </w:r>
      <w:r w:rsidRPr="00573FA5">
        <w:rPr>
          <w:rFonts w:ascii="Century Schoolbook" w:hAnsi="Century Schoolbook"/>
          <w:i/>
          <w:color w:val="auto"/>
        </w:rPr>
        <w:t xml:space="preserve"> </w:t>
      </w:r>
    </w:p>
    <w:p w14:paraId="6DF8EB3C" w14:textId="77777777" w:rsidR="00610156" w:rsidRPr="00573FA5" w:rsidRDefault="00610156" w:rsidP="00610156">
      <w:pPr>
        <w:pStyle w:val="Default"/>
        <w:ind w:left="720" w:right="720"/>
        <w:contextualSpacing/>
        <w:rPr>
          <w:rFonts w:ascii="Century Schoolbook" w:hAnsi="Century Schoolbook"/>
          <w:color w:val="auto"/>
        </w:rPr>
      </w:pPr>
    </w:p>
    <w:p w14:paraId="7380AB06" w14:textId="77777777" w:rsidR="00610156" w:rsidRPr="00573FA5" w:rsidRDefault="00CA3C6F" w:rsidP="00610156">
      <w:pPr>
        <w:pStyle w:val="Default"/>
        <w:ind w:left="720" w:right="720"/>
        <w:contextualSpacing/>
        <w:jc w:val="both"/>
        <w:rPr>
          <w:rFonts w:ascii="Century Schoolbook" w:hAnsi="Century Schoolbook"/>
          <w:i/>
          <w:color w:val="auto"/>
        </w:rPr>
      </w:pPr>
      <w:r w:rsidRPr="00573FA5">
        <w:rPr>
          <w:rFonts w:ascii="Century Schoolbook" w:hAnsi="Century Schoolbook"/>
          <w:smallCaps/>
          <w:color w:val="auto"/>
        </w:rPr>
        <w:t>Best Practice 16B</w:t>
      </w:r>
      <w:r w:rsidRPr="00573FA5">
        <w:rPr>
          <w:rFonts w:ascii="Century Schoolbook" w:hAnsi="Century Schoolbook"/>
          <w:color w:val="auto"/>
        </w:rPr>
        <w:t>: The parties should file a joint or unopposed motion or stipulation asking the court to establish a QSF and appoint a QSF Administrator to manage funds, handle ongoing claims resolution, and work with the plaintiffs and their counsel to determine the QSF’s payout structure.</w:t>
      </w:r>
      <w:r w:rsidRPr="00573FA5">
        <w:rPr>
          <w:rFonts w:ascii="Century Schoolbook" w:hAnsi="Century Schoolbook"/>
          <w:i/>
          <w:color w:val="auto"/>
        </w:rPr>
        <w:t xml:space="preserve"> </w:t>
      </w:r>
    </w:p>
    <w:p w14:paraId="2A2E0130" w14:textId="77777777" w:rsidR="00610156" w:rsidRPr="00573FA5" w:rsidRDefault="00610156" w:rsidP="00610156">
      <w:pPr>
        <w:pStyle w:val="Default"/>
        <w:contextualSpacing/>
        <w:rPr>
          <w:rFonts w:ascii="Century Schoolbook" w:hAnsi="Century Schoolbook"/>
          <w:color w:val="auto"/>
        </w:rPr>
      </w:pPr>
    </w:p>
    <w:p w14:paraId="70C91D56" w14:textId="20F10960" w:rsidR="00610156" w:rsidRDefault="00CA3C6F" w:rsidP="00610156">
      <w:pPr>
        <w:pStyle w:val="ListParagraph"/>
        <w:ind w:right="720"/>
        <w:contextualSpacing/>
        <w:jc w:val="both"/>
        <w:rPr>
          <w:rFonts w:ascii="Century Schoolbook" w:hAnsi="Century Schoolbook"/>
          <w:b/>
          <w:sz w:val="24"/>
          <w:szCs w:val="24"/>
        </w:rPr>
      </w:pPr>
      <w:r w:rsidRPr="00573FA5">
        <w:rPr>
          <w:rFonts w:ascii="Century Schoolbook" w:hAnsi="Century Schoolbook"/>
          <w:b/>
          <w:smallCaps/>
          <w:sz w:val="24"/>
          <w:szCs w:val="24"/>
        </w:rPr>
        <w:lastRenderedPageBreak/>
        <w:t>MDL Standard 17</w:t>
      </w:r>
      <w:r w:rsidRPr="00573FA5">
        <w:rPr>
          <w:rFonts w:ascii="Century Schoolbook" w:hAnsi="Century Schoolbook"/>
          <w:b/>
          <w:sz w:val="24"/>
          <w:szCs w:val="24"/>
        </w:rPr>
        <w:t xml:space="preserve">: </w:t>
      </w:r>
      <w:r w:rsidRPr="00573FA5">
        <w:rPr>
          <w:rFonts w:ascii="Century Schoolbook" w:hAnsi="Century Schoolbook"/>
          <w:sz w:val="24"/>
          <w:szCs w:val="24"/>
        </w:rPr>
        <w:t>The transferee judge and parties should collaborate in addressing lien resolution (including Medicare and Medicaid)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573FA5">
        <w:rPr>
          <w:rFonts w:ascii="Century Schoolbook" w:hAnsi="Century Schoolbook"/>
          <w:sz w:val="24"/>
          <w:szCs w:val="24"/>
        </w:rPr>
        <w:t xml:space="preserve">and instituting methods to minimize delays caused by </w:t>
      </w:r>
      <w:r>
        <w:rPr>
          <w:rFonts w:ascii="Century Schoolbook" w:hAnsi="Century Schoolbook"/>
          <w:sz w:val="24"/>
          <w:szCs w:val="24"/>
        </w:rPr>
        <w:t>such</w:t>
      </w:r>
      <w:r w:rsidRPr="00573FA5">
        <w:rPr>
          <w:rFonts w:ascii="Century Schoolbook" w:hAnsi="Century Schoolbook"/>
          <w:sz w:val="24"/>
          <w:szCs w:val="24"/>
        </w:rPr>
        <w:t xml:space="preserve"> resolution, especially health care liens.</w:t>
      </w:r>
      <w:r w:rsidRPr="00573FA5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5A016457" w14:textId="77777777" w:rsidR="008E7FDF" w:rsidRPr="00573FA5" w:rsidRDefault="008E7FDF" w:rsidP="00610156">
      <w:pPr>
        <w:pStyle w:val="ListParagraph"/>
        <w:ind w:right="720"/>
        <w:contextualSpacing/>
        <w:jc w:val="both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14:paraId="6E776912" w14:textId="77777777" w:rsidR="00610156" w:rsidRPr="00573FA5" w:rsidRDefault="00610156" w:rsidP="00610156">
      <w:pPr>
        <w:pStyle w:val="ListParagraph"/>
        <w:contextualSpacing/>
        <w:rPr>
          <w:rFonts w:ascii="Century Schoolbook" w:hAnsi="Century Schoolbook"/>
          <w:sz w:val="24"/>
          <w:szCs w:val="24"/>
        </w:rPr>
      </w:pPr>
    </w:p>
    <w:p w14:paraId="036A20D8" w14:textId="188B9020" w:rsidR="00610156" w:rsidRPr="00573FA5" w:rsidRDefault="00CA3C6F" w:rsidP="00610156">
      <w:pPr>
        <w:ind w:left="720" w:right="720"/>
        <w:contextualSpacing/>
        <w:jc w:val="both"/>
        <w:rPr>
          <w:rFonts w:ascii="Century Schoolbook" w:hAnsi="Century Schoolbook"/>
          <w:i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17A</w:t>
      </w:r>
      <w:r w:rsidRPr="00573FA5">
        <w:rPr>
          <w:rFonts w:ascii="Century Schoolbook" w:hAnsi="Century Schoolbook"/>
          <w:sz w:val="24"/>
          <w:szCs w:val="24"/>
        </w:rPr>
        <w:t xml:space="preserve">: The transferee judge overseeing a global settlement should designate </w:t>
      </w:r>
      <w:r>
        <w:rPr>
          <w:rFonts w:ascii="Century Schoolbook" w:hAnsi="Century Schoolbook"/>
          <w:sz w:val="24"/>
          <w:szCs w:val="24"/>
        </w:rPr>
        <w:t xml:space="preserve">representatives from both sides </w:t>
      </w:r>
      <w:r w:rsidRPr="00573FA5">
        <w:rPr>
          <w:rFonts w:ascii="Century Schoolbook" w:hAnsi="Century Schoolbook"/>
          <w:sz w:val="24"/>
          <w:szCs w:val="24"/>
        </w:rPr>
        <w:t xml:space="preserve">to </w:t>
      </w:r>
      <w:r>
        <w:rPr>
          <w:rFonts w:ascii="Century Schoolbook" w:hAnsi="Century Schoolbook"/>
          <w:sz w:val="24"/>
          <w:szCs w:val="24"/>
        </w:rPr>
        <w:t xml:space="preserve">create a </w:t>
      </w:r>
      <w:r w:rsidRPr="00573FA5">
        <w:rPr>
          <w:rFonts w:ascii="Century Schoolbook" w:hAnsi="Century Schoolbook"/>
          <w:sz w:val="24"/>
          <w:szCs w:val="24"/>
        </w:rPr>
        <w:t xml:space="preserve">healthcare lien resolution process. The responsibilities and respective duties </w:t>
      </w:r>
      <w:r>
        <w:rPr>
          <w:rFonts w:ascii="Century Schoolbook" w:hAnsi="Century Schoolbook"/>
          <w:sz w:val="24"/>
          <w:szCs w:val="24"/>
        </w:rPr>
        <w:t xml:space="preserve">of these representatives </w:t>
      </w:r>
      <w:r w:rsidRPr="00573FA5">
        <w:rPr>
          <w:rFonts w:ascii="Century Schoolbook" w:hAnsi="Century Schoolbook"/>
          <w:sz w:val="24"/>
          <w:szCs w:val="24"/>
        </w:rPr>
        <w:t>(and subcommittees, as needed) should be specified at the outset and assigned at the earliest possible time.</w:t>
      </w:r>
    </w:p>
    <w:p w14:paraId="197A9FF7" w14:textId="77777777" w:rsidR="00610156" w:rsidRPr="00573FA5" w:rsidRDefault="00610156" w:rsidP="00610156">
      <w:pPr>
        <w:contextualSpacing/>
        <w:rPr>
          <w:rFonts w:ascii="Century Schoolbook" w:hAnsi="Century Schoolbook"/>
          <w:sz w:val="24"/>
          <w:szCs w:val="24"/>
        </w:rPr>
      </w:pPr>
    </w:p>
    <w:p w14:paraId="26633222" w14:textId="7E7A7640" w:rsidR="00610156" w:rsidRPr="00573FA5" w:rsidRDefault="00CA3C6F" w:rsidP="005B39DA">
      <w:pPr>
        <w:ind w:left="720" w:right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573FA5">
        <w:rPr>
          <w:rFonts w:ascii="Century Schoolbook" w:hAnsi="Century Schoolbook"/>
          <w:smallCaps/>
          <w:sz w:val="24"/>
          <w:szCs w:val="24"/>
        </w:rPr>
        <w:t>Best Practice 17B</w:t>
      </w:r>
      <w:r w:rsidRPr="00573FA5">
        <w:rPr>
          <w:rFonts w:ascii="Century Schoolbook" w:hAnsi="Century Schoolbook"/>
          <w:sz w:val="24"/>
          <w:szCs w:val="24"/>
        </w:rPr>
        <w:t>: The transferee judge should assist the parties in the healthcare lien process by issuing orders, as needed, requiring periodic reporting.</w:t>
      </w:r>
    </w:p>
    <w:p w14:paraId="157F2E71" w14:textId="77777777" w:rsidR="00610156" w:rsidRPr="00573FA5" w:rsidRDefault="00610156" w:rsidP="00610156">
      <w:pPr>
        <w:ind w:firstLine="720"/>
        <w:contextualSpacing/>
        <w:jc w:val="center"/>
        <w:rPr>
          <w:rFonts w:ascii="Century Schoolbook" w:hAnsi="Century Schoolbook"/>
          <w:b/>
          <w:sz w:val="24"/>
          <w:szCs w:val="24"/>
        </w:rPr>
      </w:pPr>
    </w:p>
    <w:p w14:paraId="4B255155" w14:textId="34DEB748" w:rsidR="00610156" w:rsidRDefault="00CA3C6F" w:rsidP="00610156">
      <w:pPr>
        <w:spacing w:after="120"/>
        <w:jc w:val="center"/>
        <w:rPr>
          <w:rFonts w:ascii="Century Schoolbook" w:hAnsi="Century Schoolbook"/>
          <w:sz w:val="24"/>
          <w:szCs w:val="24"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t>….</w:t>
      </w:r>
      <w:r w:rsidR="00F22AE3">
        <w:rPr>
          <w:rFonts w:ascii="Century Schoolbook" w:hAnsi="Century Schoolbook"/>
          <w:sz w:val="24"/>
          <w:szCs w:val="24"/>
        </w:rPr>
        <w:t>[</w:t>
      </w:r>
      <w:r w:rsidR="00BC2CA2">
        <w:rPr>
          <w:rFonts w:ascii="Century Schoolbook" w:hAnsi="Century Schoolbook"/>
          <w:sz w:val="24"/>
          <w:szCs w:val="24"/>
        </w:rPr>
        <w:t>Material o</w:t>
      </w:r>
      <w:r w:rsidR="00F22AE3">
        <w:rPr>
          <w:rFonts w:ascii="Century Schoolbook" w:hAnsi="Century Schoolbook"/>
          <w:sz w:val="24"/>
          <w:szCs w:val="24"/>
        </w:rPr>
        <w:t>mitted from 2014 MDL Standards and Best Practices.]</w:t>
      </w:r>
    </w:p>
    <w:p w14:paraId="1C99162C" w14:textId="77777777" w:rsidR="00D07328" w:rsidRPr="00750975" w:rsidRDefault="00D07328" w:rsidP="00610156">
      <w:pPr>
        <w:spacing w:after="120"/>
        <w:jc w:val="center"/>
        <w:rPr>
          <w:rFonts w:ascii="Century Schoolbook" w:hAnsi="Century Schoolbook"/>
          <w:b/>
          <w:smallCaps/>
          <w:sz w:val="24"/>
          <w:szCs w:val="24"/>
        </w:rPr>
      </w:pPr>
    </w:p>
    <w:p w14:paraId="71AE1121" w14:textId="77777777" w:rsidR="00610156" w:rsidRPr="00750975" w:rsidRDefault="00CA3C6F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t>CHAPTER 7</w:t>
      </w:r>
    </w:p>
    <w:p w14:paraId="3DD4045E" w14:textId="77777777" w:rsidR="00610156" w:rsidRPr="00750975" w:rsidRDefault="00610156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</w:p>
    <w:p w14:paraId="09B85ADA" w14:textId="77777777" w:rsidR="00610156" w:rsidRDefault="00CA3C6F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t>FEDERAL/STATE COORDINATION</w:t>
      </w:r>
    </w:p>
    <w:p w14:paraId="37F46A21" w14:textId="77777777" w:rsidR="00D07328" w:rsidRPr="00750975" w:rsidRDefault="00D07328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</w:p>
    <w:p w14:paraId="0082025D" w14:textId="1DFB53F5" w:rsidR="00610156" w:rsidRPr="00750975" w:rsidRDefault="00CA3C6F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750975">
        <w:rPr>
          <w:rFonts w:ascii="Century Schoolbook" w:hAnsi="Century Schoolbook"/>
          <w:b/>
          <w:smallCaps/>
          <w:sz w:val="24"/>
          <w:szCs w:val="24"/>
        </w:rPr>
        <w:t>…</w:t>
      </w:r>
      <w:r>
        <w:rPr>
          <w:rFonts w:ascii="Century Schoolbook" w:hAnsi="Century Schoolbook"/>
          <w:b/>
          <w:smallCaps/>
          <w:sz w:val="24"/>
          <w:szCs w:val="24"/>
        </w:rPr>
        <w:t>.</w:t>
      </w:r>
      <w:r w:rsidR="00F22AE3">
        <w:rPr>
          <w:rFonts w:ascii="Century Schoolbook" w:hAnsi="Century Schoolbook"/>
          <w:sz w:val="24"/>
          <w:szCs w:val="24"/>
        </w:rPr>
        <w:t>[</w:t>
      </w:r>
      <w:r w:rsidR="00BC2CA2">
        <w:rPr>
          <w:rFonts w:ascii="Century Schoolbook" w:hAnsi="Century Schoolbook"/>
          <w:sz w:val="24"/>
          <w:szCs w:val="24"/>
        </w:rPr>
        <w:t>Material o</w:t>
      </w:r>
      <w:r w:rsidR="00F22AE3">
        <w:rPr>
          <w:rFonts w:ascii="Century Schoolbook" w:hAnsi="Century Schoolbook"/>
          <w:sz w:val="24"/>
          <w:szCs w:val="24"/>
        </w:rPr>
        <w:t>mitted from 2014 MDL Standards and Best Practices.]</w:t>
      </w:r>
    </w:p>
    <w:p w14:paraId="7A71ABD3" w14:textId="77777777" w:rsidR="00610156" w:rsidRPr="00750975" w:rsidRDefault="00610156" w:rsidP="00610156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</w:p>
    <w:sectPr w:rsidR="00610156" w:rsidRPr="00750975" w:rsidSect="00610156"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5085" w14:textId="77777777" w:rsidR="008805FA" w:rsidRDefault="008805FA">
      <w:r>
        <w:separator/>
      </w:r>
    </w:p>
  </w:endnote>
  <w:endnote w:type="continuationSeparator" w:id="0">
    <w:p w14:paraId="7414A5BF" w14:textId="77777777" w:rsidR="008805FA" w:rsidRDefault="0088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0399" w14:textId="77777777" w:rsidR="00F84390" w:rsidRDefault="00F8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981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DE0BD" w14:textId="1D7AD04E" w:rsidR="008805FA" w:rsidRDefault="00880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738289" w14:textId="77777777" w:rsidR="008805FA" w:rsidRDefault="008805F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70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359EB" w14:textId="6616B391" w:rsidR="008805FA" w:rsidRDefault="008805FA">
        <w:pPr>
          <w:pStyle w:val="Footer"/>
          <w:jc w:val="center"/>
        </w:pPr>
      </w:p>
    </w:sdtContent>
  </w:sdt>
  <w:p w14:paraId="040D4F23" w14:textId="77777777" w:rsidR="008805FA" w:rsidRDefault="008805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081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244F4" w14:textId="78E6DE5E" w:rsidR="008805FA" w:rsidRDefault="00880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BEC34" w14:textId="77777777" w:rsidR="008805FA" w:rsidRDefault="0088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308F" w14:textId="77777777" w:rsidR="008805FA" w:rsidRDefault="008805FA" w:rsidP="00610156">
      <w:r>
        <w:separator/>
      </w:r>
    </w:p>
  </w:footnote>
  <w:footnote w:type="continuationSeparator" w:id="0">
    <w:p w14:paraId="77B7EE90" w14:textId="77777777" w:rsidR="008805FA" w:rsidRDefault="008805FA" w:rsidP="0061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FF08" w14:textId="77777777" w:rsidR="00F84390" w:rsidRDefault="00F8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84A2" w14:textId="77777777" w:rsidR="00F84390" w:rsidRDefault="00F84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6F3F" w14:textId="77777777" w:rsidR="00F84390" w:rsidRDefault="00F84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601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B638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D84D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CEC5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2802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8AB7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201C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80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C37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844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113E"/>
    <w:multiLevelType w:val="hybridMultilevel"/>
    <w:tmpl w:val="D9089B12"/>
    <w:lvl w:ilvl="0" w:tplc="D322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C5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8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07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2C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6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D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A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00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65A2"/>
    <w:multiLevelType w:val="hybridMultilevel"/>
    <w:tmpl w:val="3B0A50C6"/>
    <w:lvl w:ilvl="0" w:tplc="D0AE4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A2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67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8B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25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26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4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7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C9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34B"/>
    <w:multiLevelType w:val="hybridMultilevel"/>
    <w:tmpl w:val="B484CCF0"/>
    <w:lvl w:ilvl="0" w:tplc="F698EA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3F21A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48A1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F61F7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5478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0C2FFA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D84E3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302CAD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1F290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2F77B9"/>
    <w:multiLevelType w:val="hybridMultilevel"/>
    <w:tmpl w:val="1A3A986E"/>
    <w:lvl w:ilvl="0" w:tplc="B7EA1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2707792" w:tentative="1">
      <w:start w:val="1"/>
      <w:numFmt w:val="lowerLetter"/>
      <w:lvlText w:val="%2."/>
      <w:lvlJc w:val="left"/>
      <w:pPr>
        <w:ind w:left="2520" w:hanging="360"/>
      </w:pPr>
    </w:lvl>
    <w:lvl w:ilvl="2" w:tplc="A6128BE2" w:tentative="1">
      <w:start w:val="1"/>
      <w:numFmt w:val="lowerRoman"/>
      <w:lvlText w:val="%3."/>
      <w:lvlJc w:val="right"/>
      <w:pPr>
        <w:ind w:left="3240" w:hanging="180"/>
      </w:pPr>
    </w:lvl>
    <w:lvl w:ilvl="3" w:tplc="DC4609B8" w:tentative="1">
      <w:start w:val="1"/>
      <w:numFmt w:val="decimal"/>
      <w:lvlText w:val="%4."/>
      <w:lvlJc w:val="left"/>
      <w:pPr>
        <w:ind w:left="3960" w:hanging="360"/>
      </w:pPr>
    </w:lvl>
    <w:lvl w:ilvl="4" w:tplc="29F04C36" w:tentative="1">
      <w:start w:val="1"/>
      <w:numFmt w:val="lowerLetter"/>
      <w:lvlText w:val="%5."/>
      <w:lvlJc w:val="left"/>
      <w:pPr>
        <w:ind w:left="4680" w:hanging="360"/>
      </w:pPr>
    </w:lvl>
    <w:lvl w:ilvl="5" w:tplc="3BB29414" w:tentative="1">
      <w:start w:val="1"/>
      <w:numFmt w:val="lowerRoman"/>
      <w:lvlText w:val="%6."/>
      <w:lvlJc w:val="right"/>
      <w:pPr>
        <w:ind w:left="5400" w:hanging="180"/>
      </w:pPr>
    </w:lvl>
    <w:lvl w:ilvl="6" w:tplc="464088D6" w:tentative="1">
      <w:start w:val="1"/>
      <w:numFmt w:val="decimal"/>
      <w:lvlText w:val="%7."/>
      <w:lvlJc w:val="left"/>
      <w:pPr>
        <w:ind w:left="6120" w:hanging="360"/>
      </w:pPr>
    </w:lvl>
    <w:lvl w:ilvl="7" w:tplc="F10883EA" w:tentative="1">
      <w:start w:val="1"/>
      <w:numFmt w:val="lowerLetter"/>
      <w:lvlText w:val="%8."/>
      <w:lvlJc w:val="left"/>
      <w:pPr>
        <w:ind w:left="6840" w:hanging="360"/>
      </w:pPr>
    </w:lvl>
    <w:lvl w:ilvl="8" w:tplc="2830302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999906"/>
    <w:docVar w:name="DocIDAuthor" w:val="True"/>
    <w:docVar w:name="DocIDClientMatter" w:val="False"/>
    <w:docVar w:name="DocIDDate" w:val="Tru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MatterNumber" w:val="00870"/>
  </w:docVars>
  <w:rsids>
    <w:rsidRoot w:val="0073533D"/>
    <w:rsid w:val="00016696"/>
    <w:rsid w:val="000B7C86"/>
    <w:rsid w:val="0010253B"/>
    <w:rsid w:val="001360D9"/>
    <w:rsid w:val="00142AFD"/>
    <w:rsid w:val="001C4F78"/>
    <w:rsid w:val="001F21DD"/>
    <w:rsid w:val="001F439E"/>
    <w:rsid w:val="00384275"/>
    <w:rsid w:val="00404174"/>
    <w:rsid w:val="00420767"/>
    <w:rsid w:val="00474A8C"/>
    <w:rsid w:val="00500576"/>
    <w:rsid w:val="00517156"/>
    <w:rsid w:val="00584DE4"/>
    <w:rsid w:val="005B39DA"/>
    <w:rsid w:val="0060325E"/>
    <w:rsid w:val="00610156"/>
    <w:rsid w:val="00615077"/>
    <w:rsid w:val="0073533D"/>
    <w:rsid w:val="00775EB4"/>
    <w:rsid w:val="007F0D90"/>
    <w:rsid w:val="008805FA"/>
    <w:rsid w:val="008E4640"/>
    <w:rsid w:val="008E7FDF"/>
    <w:rsid w:val="009E12AB"/>
    <w:rsid w:val="00A305FF"/>
    <w:rsid w:val="00AB5F67"/>
    <w:rsid w:val="00AD3E38"/>
    <w:rsid w:val="00AF5D93"/>
    <w:rsid w:val="00B65FBE"/>
    <w:rsid w:val="00BC2CA2"/>
    <w:rsid w:val="00CA3C6F"/>
    <w:rsid w:val="00CA7DBE"/>
    <w:rsid w:val="00D07328"/>
    <w:rsid w:val="00D2106F"/>
    <w:rsid w:val="00EC6368"/>
    <w:rsid w:val="00F22AE3"/>
    <w:rsid w:val="00F2448D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6277E"/>
  <w15:docId w15:val="{A6426832-2E94-48FD-9608-B5D3325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1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F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F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F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F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16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16D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816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6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16DB"/>
    <w:rPr>
      <w:vertAlign w:val="superscript"/>
    </w:rPr>
  </w:style>
  <w:style w:type="paragraph" w:styleId="NoSpacing">
    <w:name w:val="No Spacing"/>
    <w:uiPriority w:val="1"/>
    <w:qFormat/>
    <w:rsid w:val="00DE0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4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4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4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4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C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0EB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02C7"/>
    <w:rPr>
      <w:color w:val="0563C1" w:themeColor="hyperlink"/>
      <w:u w:val="single"/>
    </w:rPr>
  </w:style>
  <w:style w:type="paragraph" w:customStyle="1" w:styleId="20sp1">
    <w:name w:val="_2.0sp 1&quot;"/>
    <w:basedOn w:val="Normal"/>
    <w:rsid w:val="004602C7"/>
    <w:pPr>
      <w:widowControl/>
      <w:suppressAutoHyphens/>
      <w:autoSpaceDE/>
      <w:autoSpaceDN/>
      <w:spacing w:after="480" w:line="480" w:lineRule="auto"/>
      <w:ind w:firstLine="1440"/>
    </w:pPr>
    <w:rPr>
      <w:rFonts w:eastAsia="SimSu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02C7"/>
    <w:pPr>
      <w:widowControl/>
      <w:autoSpaceDE/>
      <w:autoSpaceDN/>
      <w:ind w:left="720"/>
    </w:pPr>
    <w:rPr>
      <w:rFonts w:ascii="Calibri" w:eastAsiaTheme="minorHAnsi" w:hAnsi="Calibri"/>
    </w:rPr>
  </w:style>
  <w:style w:type="paragraph" w:customStyle="1" w:styleId="Default">
    <w:name w:val="Default"/>
    <w:rsid w:val="004602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FF3B8A"/>
    <w:rPr>
      <w:rFonts w:ascii="Arial" w:hAnsi="Arial" w:cs="Arial"/>
      <w:b w:val="0"/>
      <w:i w:val="0"/>
      <w:caps w:val="0"/>
      <w:vanish w:val="0"/>
      <w:color w:val="000000"/>
      <w:sz w:val="12"/>
      <w:szCs w:val="24"/>
      <w:u w:val="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F1A"/>
  </w:style>
  <w:style w:type="paragraph" w:styleId="BlockText">
    <w:name w:val="Block Text"/>
    <w:basedOn w:val="Normal"/>
    <w:uiPriority w:val="99"/>
    <w:semiHidden/>
    <w:unhideWhenUsed/>
    <w:rsid w:val="00544F1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4F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4F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F1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F1A"/>
    <w:pPr>
      <w:ind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F1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F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F1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F1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F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F1A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F1A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F1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F1A"/>
  </w:style>
  <w:style w:type="character" w:customStyle="1" w:styleId="DateChar">
    <w:name w:val="Date Char"/>
    <w:basedOn w:val="DefaultParagraphFont"/>
    <w:link w:val="Date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4F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F1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F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F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F1A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F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F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F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F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F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F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F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4F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F1A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F1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F1A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F1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F1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F1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F1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F1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F1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F1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F1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F1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F1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F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F1A"/>
    <w:rPr>
      <w:rFonts w:ascii="Times New Roman" w:eastAsia="Times New Roman" w:hAnsi="Times New Roman" w:cs="Times New Roman"/>
      <w:b/>
      <w:bCs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544F1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4F1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4F1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4F1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4F1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4F1A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4F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F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F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F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F1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F1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F1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F1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F1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4F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F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F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F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F1A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4F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F1A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F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F1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4F1A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4F1A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4F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F1A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44F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F1A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F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4F1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F1A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F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F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F1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F1A"/>
  </w:style>
  <w:style w:type="paragraph" w:styleId="Title">
    <w:name w:val="Title"/>
    <w:basedOn w:val="Normal"/>
    <w:next w:val="Normal"/>
    <w:link w:val="TitleChar"/>
    <w:uiPriority w:val="10"/>
    <w:qFormat/>
    <w:rsid w:val="00544F1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F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44F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F1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F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F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F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F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F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F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F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F1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F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275F-E668-4DB9-BA1E-785C8209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Rabiej, J.D.</dc:creator>
  <cp:lastModifiedBy>Lora Farmer</cp:lastModifiedBy>
  <cp:revision>5</cp:revision>
  <cp:lastPrinted>2018-04-23T15:54:00Z</cp:lastPrinted>
  <dcterms:created xsi:type="dcterms:W3CDTF">2018-04-23T15:43:00Z</dcterms:created>
  <dcterms:modified xsi:type="dcterms:W3CDTF">2018-04-23T16:05:00Z</dcterms:modified>
</cp:coreProperties>
</file>