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156" w:rsidRPr="0052717A" w:rsidRDefault="00610156" w:rsidP="00610156">
      <w:pPr>
        <w:jc w:val="center"/>
        <w:rPr>
          <w:rFonts w:ascii="Century Schoolbook" w:hAnsi="Century Schoolbook" w:cstheme="majorBidi"/>
          <w:b/>
          <w:bCs/>
        </w:rPr>
      </w:pPr>
    </w:p>
    <w:p w:rsidR="00610156" w:rsidRPr="0052717A" w:rsidRDefault="00610156" w:rsidP="00610156">
      <w:pPr>
        <w:jc w:val="both"/>
        <w:rPr>
          <w:rFonts w:ascii="Century Schoolbook" w:hAnsi="Century Schoolbook"/>
        </w:rPr>
      </w:pPr>
    </w:p>
    <w:p w:rsidR="00610156" w:rsidRDefault="00CA3C6F" w:rsidP="00610156">
      <w:pPr>
        <w:jc w:val="center"/>
        <w:rPr>
          <w:rFonts w:ascii="Century Schoolbook" w:hAnsi="Century Schoolbook"/>
          <w:b/>
          <w:smallCaps/>
          <w:sz w:val="28"/>
          <w:szCs w:val="28"/>
        </w:rPr>
      </w:pPr>
      <w:r w:rsidRPr="00750975">
        <w:rPr>
          <w:rFonts w:ascii="Century Schoolbook" w:hAnsi="Century Schoolbook"/>
          <w:b/>
          <w:smallCaps/>
          <w:sz w:val="28"/>
          <w:szCs w:val="28"/>
        </w:rPr>
        <w:t>CALL FOR PUBLIC COMMENT</w:t>
      </w:r>
    </w:p>
    <w:p w:rsidR="00A8215C" w:rsidRPr="00750975" w:rsidRDefault="00A8215C" w:rsidP="00610156">
      <w:pPr>
        <w:jc w:val="center"/>
        <w:rPr>
          <w:rFonts w:ascii="Century Schoolbook" w:hAnsi="Century Schoolbook"/>
          <w:b/>
          <w:smallCaps/>
          <w:sz w:val="28"/>
          <w:szCs w:val="28"/>
        </w:rPr>
      </w:pPr>
      <w:r>
        <w:rPr>
          <w:rFonts w:ascii="Century Schoolbook" w:hAnsi="Century Schoolbook"/>
          <w:b/>
          <w:smallCaps/>
          <w:sz w:val="28"/>
          <w:szCs w:val="28"/>
        </w:rPr>
        <w:t>(Comments due no later than July 2, 2018)</w:t>
      </w:r>
    </w:p>
    <w:p w:rsidR="00610156" w:rsidRPr="00750975" w:rsidRDefault="00610156" w:rsidP="00610156">
      <w:pPr>
        <w:jc w:val="both"/>
        <w:rPr>
          <w:rFonts w:ascii="Century Schoolbook" w:hAnsi="Century Schoolbook"/>
          <w:b/>
          <w:smallCaps/>
        </w:rPr>
      </w:pPr>
    </w:p>
    <w:p w:rsidR="00610156" w:rsidRPr="00750975" w:rsidRDefault="00610156" w:rsidP="00610156">
      <w:pPr>
        <w:jc w:val="center"/>
        <w:rPr>
          <w:rFonts w:ascii="Century Schoolbook" w:hAnsi="Century Schoolbook"/>
          <w:b/>
          <w:smallCaps/>
          <w:sz w:val="28"/>
          <w:szCs w:val="28"/>
        </w:rPr>
      </w:pPr>
    </w:p>
    <w:p w:rsidR="00610156" w:rsidRPr="00750975" w:rsidRDefault="00CA3C6F" w:rsidP="00610156">
      <w:pPr>
        <w:jc w:val="center"/>
        <w:rPr>
          <w:rFonts w:ascii="Century Schoolbook" w:hAnsi="Century Schoolbook"/>
          <w:b/>
          <w:smallCaps/>
          <w:sz w:val="28"/>
          <w:szCs w:val="28"/>
        </w:rPr>
      </w:pPr>
      <w:r w:rsidRPr="00750975">
        <w:rPr>
          <w:rFonts w:ascii="Century Schoolbook" w:hAnsi="Century Schoolbook"/>
          <w:b/>
          <w:smallCaps/>
          <w:sz w:val="28"/>
          <w:szCs w:val="28"/>
        </w:rPr>
        <w:t>STANDARDS AND BEST PRACTICES</w:t>
      </w:r>
    </w:p>
    <w:p w:rsidR="00610156" w:rsidRPr="00750975" w:rsidRDefault="00CA3C6F" w:rsidP="00610156">
      <w:pPr>
        <w:jc w:val="center"/>
        <w:rPr>
          <w:rFonts w:ascii="Century Schoolbook" w:hAnsi="Century Schoolbook"/>
          <w:b/>
          <w:smallCaps/>
          <w:sz w:val="28"/>
          <w:szCs w:val="28"/>
        </w:rPr>
      </w:pPr>
      <w:r w:rsidRPr="00750975">
        <w:rPr>
          <w:rFonts w:ascii="Century Schoolbook" w:hAnsi="Century Schoolbook"/>
          <w:b/>
          <w:smallCaps/>
          <w:sz w:val="28"/>
          <w:szCs w:val="28"/>
        </w:rPr>
        <w:t>FOR LARGE AND MASS-TORT MDLS</w:t>
      </w:r>
    </w:p>
    <w:p w:rsidR="00610156" w:rsidRDefault="00CA3C6F" w:rsidP="00610156">
      <w:pPr>
        <w:jc w:val="center"/>
        <w:rPr>
          <w:rFonts w:ascii="Century Schoolbook" w:hAnsi="Century Schoolbook"/>
          <w:b/>
          <w:smallCaps/>
          <w:sz w:val="28"/>
          <w:szCs w:val="28"/>
        </w:rPr>
      </w:pPr>
      <w:r w:rsidRPr="00750975">
        <w:rPr>
          <w:rFonts w:ascii="Century Schoolbook" w:hAnsi="Century Schoolbook"/>
          <w:b/>
          <w:smallCaps/>
          <w:sz w:val="28"/>
          <w:szCs w:val="28"/>
        </w:rPr>
        <w:t>BOLCH JUDICIAL INSTITUTE, DUKE LAW SCHOOL</w:t>
      </w:r>
    </w:p>
    <w:p w:rsidR="00610156" w:rsidRDefault="007F0D90" w:rsidP="00610156">
      <w:pPr>
        <w:jc w:val="center"/>
        <w:rPr>
          <w:rFonts w:ascii="Century Schoolbook" w:hAnsi="Century Schoolbook"/>
          <w:b/>
          <w:smallCaps/>
          <w:sz w:val="28"/>
          <w:szCs w:val="28"/>
        </w:rPr>
      </w:pPr>
      <w:r w:rsidRPr="00750975">
        <w:rPr>
          <w:rFonts w:ascii="Century Schoolbook" w:hAnsi="Century Schoolbook"/>
          <w:b/>
          <w:smallCaps/>
          <w:sz w:val="28"/>
          <w:szCs w:val="28"/>
        </w:rPr>
        <w:t xml:space="preserve"> </w:t>
      </w:r>
      <w:r w:rsidR="00CA3C6F" w:rsidRPr="00750975">
        <w:rPr>
          <w:rFonts w:ascii="Century Schoolbook" w:hAnsi="Century Schoolbook"/>
          <w:b/>
          <w:smallCaps/>
          <w:sz w:val="28"/>
          <w:szCs w:val="28"/>
        </w:rPr>
        <w:t>(Updating December 19, 2014, Report)</w:t>
      </w:r>
    </w:p>
    <w:p w:rsidR="00615077" w:rsidRPr="00750975" w:rsidRDefault="00615077" w:rsidP="00610156">
      <w:pPr>
        <w:jc w:val="center"/>
        <w:rPr>
          <w:rFonts w:ascii="Century Schoolbook" w:hAnsi="Century Schoolbook"/>
          <w:b/>
          <w:smallCaps/>
          <w:sz w:val="28"/>
          <w:szCs w:val="28"/>
        </w:rPr>
      </w:pPr>
    </w:p>
    <w:p w:rsidR="00610156" w:rsidRPr="00750975" w:rsidRDefault="00610156" w:rsidP="00610156">
      <w:pPr>
        <w:jc w:val="both"/>
        <w:rPr>
          <w:rFonts w:ascii="Century Schoolbook" w:hAnsi="Century Schoolbook"/>
          <w:b/>
          <w:smallCaps/>
        </w:rPr>
      </w:pPr>
    </w:p>
    <w:p w:rsidR="00610156" w:rsidRDefault="00610156" w:rsidP="00610156">
      <w:pPr>
        <w:jc w:val="both"/>
        <w:rPr>
          <w:rFonts w:ascii="Century Schoolbook" w:hAnsi="Century Schoolbook"/>
        </w:rPr>
      </w:pPr>
    </w:p>
    <w:p w:rsidR="00610156" w:rsidRDefault="00610156" w:rsidP="00610156">
      <w:pPr>
        <w:jc w:val="both"/>
        <w:rPr>
          <w:rFonts w:ascii="Century Schoolbook" w:hAnsi="Century Schoolbook"/>
        </w:rPr>
      </w:pPr>
    </w:p>
    <w:p w:rsidR="00610156" w:rsidRDefault="00610156" w:rsidP="00610156">
      <w:pPr>
        <w:jc w:val="both"/>
        <w:rPr>
          <w:rFonts w:ascii="Century Schoolbook" w:hAnsi="Century Schoolbook"/>
        </w:rPr>
      </w:pPr>
    </w:p>
    <w:p w:rsidR="00610156" w:rsidRPr="0052717A" w:rsidRDefault="00610156" w:rsidP="00610156">
      <w:pPr>
        <w:jc w:val="both"/>
        <w:rPr>
          <w:rFonts w:ascii="Century Schoolbook" w:hAnsi="Century Schoolbook"/>
        </w:rPr>
      </w:pPr>
    </w:p>
    <w:p w:rsidR="00610156" w:rsidRPr="0052717A" w:rsidRDefault="00610156" w:rsidP="00610156">
      <w:pPr>
        <w:jc w:val="both"/>
        <w:rPr>
          <w:rFonts w:ascii="Century Schoolbook" w:hAnsi="Century Schoolbook"/>
        </w:rPr>
      </w:pPr>
    </w:p>
    <w:p w:rsidR="00610156" w:rsidRPr="0052717A" w:rsidRDefault="00610156" w:rsidP="00610156">
      <w:pPr>
        <w:jc w:val="both"/>
        <w:rPr>
          <w:rFonts w:ascii="Century Schoolbook" w:hAnsi="Century Schoolbook"/>
        </w:rPr>
      </w:pPr>
    </w:p>
    <w:p w:rsidR="00610156" w:rsidRDefault="00610156" w:rsidP="00610156">
      <w:pPr>
        <w:jc w:val="both"/>
        <w:rPr>
          <w:rFonts w:ascii="Century Schoolbook" w:hAnsi="Century Schoolbook"/>
        </w:rPr>
      </w:pPr>
    </w:p>
    <w:p w:rsidR="00610156" w:rsidRDefault="00610156" w:rsidP="00610156">
      <w:pPr>
        <w:jc w:val="both"/>
        <w:rPr>
          <w:rFonts w:ascii="Century Schoolbook" w:hAnsi="Century Schoolbook"/>
        </w:rPr>
      </w:pPr>
    </w:p>
    <w:p w:rsidR="00610156" w:rsidRPr="0052717A" w:rsidRDefault="00610156" w:rsidP="00610156">
      <w:pPr>
        <w:jc w:val="both"/>
        <w:rPr>
          <w:rFonts w:ascii="Century Schoolbook" w:hAnsi="Century Schoolbook"/>
        </w:rPr>
      </w:pPr>
    </w:p>
    <w:p w:rsidR="00610156" w:rsidRPr="0052717A" w:rsidRDefault="00610156" w:rsidP="00610156">
      <w:pPr>
        <w:jc w:val="both"/>
        <w:rPr>
          <w:rFonts w:ascii="Century Schoolbook" w:hAnsi="Century Schoolbook"/>
        </w:rPr>
      </w:pPr>
    </w:p>
    <w:p w:rsidR="00610156" w:rsidRPr="0052717A" w:rsidRDefault="00610156" w:rsidP="00610156">
      <w:pPr>
        <w:jc w:val="both"/>
        <w:rPr>
          <w:rFonts w:ascii="Century Schoolbook" w:hAnsi="Century Schoolbook"/>
        </w:rPr>
      </w:pPr>
    </w:p>
    <w:p w:rsidR="00610156" w:rsidRDefault="00CA3C6F" w:rsidP="00610156">
      <w:pPr>
        <w:pStyle w:val="NoSpacing"/>
        <w:jc w:val="both"/>
        <w:rPr>
          <w:rFonts w:ascii="Century Schoolbook" w:hAnsi="Century Schoolbook"/>
        </w:rPr>
      </w:pPr>
      <w:r w:rsidRPr="0052717A">
        <w:rPr>
          <w:rFonts w:ascii="Century Schoolbook" w:hAnsi="Century Schoolbook"/>
        </w:rPr>
        <w:tab/>
      </w:r>
      <w:r w:rsidRPr="0052717A">
        <w:rPr>
          <w:rFonts w:ascii="Century Schoolbook" w:hAnsi="Century Schoolbook"/>
        </w:rPr>
        <w:tab/>
      </w:r>
      <w:r w:rsidRPr="0052717A">
        <w:rPr>
          <w:rFonts w:ascii="Century Schoolbook" w:hAnsi="Century Schoolbook"/>
        </w:rPr>
        <w:tab/>
      </w:r>
      <w:r w:rsidRPr="0052717A">
        <w:rPr>
          <w:rFonts w:ascii="Century Schoolbook" w:hAnsi="Century Schoolbook"/>
        </w:rPr>
        <w:tab/>
      </w:r>
      <w:r w:rsidRPr="0052717A">
        <w:rPr>
          <w:rFonts w:ascii="Century Schoolbook" w:hAnsi="Century Schoolbook"/>
        </w:rPr>
        <w:tab/>
      </w:r>
      <w:r w:rsidRPr="0052717A">
        <w:rPr>
          <w:rFonts w:ascii="Century Schoolbook" w:hAnsi="Century Schoolbook"/>
        </w:rPr>
        <w:tab/>
      </w:r>
      <w:r w:rsidRPr="0052717A">
        <w:rPr>
          <w:rFonts w:ascii="Century Schoolbook" w:hAnsi="Century Schoolbook"/>
        </w:rPr>
        <w:tab/>
      </w:r>
      <w:r w:rsidRPr="0052717A">
        <w:rPr>
          <w:rFonts w:ascii="Century Schoolbook" w:hAnsi="Century Schoolbook"/>
        </w:rPr>
        <w:tab/>
      </w:r>
    </w:p>
    <w:p w:rsidR="00610156" w:rsidRDefault="00610156" w:rsidP="00610156">
      <w:pPr>
        <w:pStyle w:val="NoSpacing"/>
        <w:jc w:val="both"/>
        <w:rPr>
          <w:rFonts w:ascii="Century Schoolbook" w:hAnsi="Century Schoolbook"/>
        </w:rPr>
      </w:pPr>
    </w:p>
    <w:p w:rsidR="00610156" w:rsidRDefault="00610156" w:rsidP="00610156">
      <w:pPr>
        <w:pStyle w:val="NoSpacing"/>
        <w:jc w:val="both"/>
        <w:rPr>
          <w:rFonts w:ascii="Century Schoolbook" w:hAnsi="Century Schoolbook"/>
        </w:rPr>
      </w:pPr>
    </w:p>
    <w:p w:rsidR="00610156" w:rsidRDefault="00610156" w:rsidP="00610156">
      <w:pPr>
        <w:pStyle w:val="NoSpacing"/>
        <w:jc w:val="both"/>
        <w:rPr>
          <w:rFonts w:ascii="Century Schoolbook" w:hAnsi="Century Schoolbook"/>
        </w:rPr>
      </w:pPr>
    </w:p>
    <w:p w:rsidR="00610156" w:rsidRDefault="00610156" w:rsidP="00610156">
      <w:pPr>
        <w:pStyle w:val="NoSpacing"/>
        <w:jc w:val="both"/>
        <w:rPr>
          <w:rFonts w:ascii="Century Schoolbook" w:hAnsi="Century Schoolbook"/>
        </w:rPr>
      </w:pPr>
    </w:p>
    <w:p w:rsidR="00610156" w:rsidRDefault="00610156" w:rsidP="00610156">
      <w:pPr>
        <w:pStyle w:val="NoSpacing"/>
        <w:jc w:val="both"/>
        <w:rPr>
          <w:rFonts w:ascii="Century Schoolbook" w:hAnsi="Century Schoolbook"/>
        </w:rPr>
      </w:pPr>
    </w:p>
    <w:p w:rsidR="00610156" w:rsidRDefault="00610156" w:rsidP="00610156">
      <w:pPr>
        <w:pStyle w:val="NoSpacing"/>
        <w:jc w:val="both"/>
        <w:rPr>
          <w:rFonts w:ascii="Century Schoolbook" w:hAnsi="Century Schoolbook"/>
        </w:rPr>
      </w:pPr>
    </w:p>
    <w:p w:rsidR="00610156" w:rsidRDefault="00610156" w:rsidP="00610156">
      <w:pPr>
        <w:pStyle w:val="NoSpacing"/>
        <w:jc w:val="both"/>
        <w:rPr>
          <w:rFonts w:ascii="Century Schoolbook" w:hAnsi="Century Schoolbook"/>
        </w:rPr>
      </w:pPr>
    </w:p>
    <w:p w:rsidR="00610156" w:rsidRDefault="00610156" w:rsidP="00610156">
      <w:pPr>
        <w:pStyle w:val="NoSpacing"/>
        <w:jc w:val="both"/>
        <w:rPr>
          <w:rFonts w:ascii="Century Schoolbook" w:hAnsi="Century Schoolbook"/>
        </w:rPr>
      </w:pPr>
    </w:p>
    <w:p w:rsidR="00610156" w:rsidRDefault="00610156" w:rsidP="00610156">
      <w:pPr>
        <w:pStyle w:val="NoSpacing"/>
        <w:jc w:val="both"/>
        <w:rPr>
          <w:rFonts w:ascii="Century Schoolbook" w:hAnsi="Century Schoolbook"/>
        </w:rPr>
      </w:pPr>
    </w:p>
    <w:p w:rsidR="00610156" w:rsidRDefault="00610156" w:rsidP="00610156">
      <w:pPr>
        <w:pStyle w:val="NoSpacing"/>
        <w:jc w:val="both"/>
        <w:rPr>
          <w:rFonts w:ascii="Century Schoolbook" w:hAnsi="Century Schoolbook"/>
        </w:rPr>
      </w:pPr>
    </w:p>
    <w:p w:rsidR="00610156" w:rsidRDefault="00610156" w:rsidP="00610156">
      <w:pPr>
        <w:pStyle w:val="NoSpacing"/>
        <w:jc w:val="both"/>
        <w:rPr>
          <w:rFonts w:ascii="Century Schoolbook" w:hAnsi="Century Schoolbook"/>
        </w:rPr>
      </w:pPr>
    </w:p>
    <w:p w:rsidR="00610156" w:rsidRDefault="00610156" w:rsidP="00610156">
      <w:pPr>
        <w:pStyle w:val="NoSpacing"/>
        <w:jc w:val="both"/>
        <w:rPr>
          <w:rFonts w:ascii="Century Schoolbook" w:hAnsi="Century Schoolbook"/>
        </w:rPr>
      </w:pPr>
    </w:p>
    <w:p w:rsidR="00610156" w:rsidRDefault="00610156" w:rsidP="00610156">
      <w:pPr>
        <w:pStyle w:val="NoSpacing"/>
        <w:jc w:val="both"/>
        <w:rPr>
          <w:rFonts w:ascii="Century Schoolbook" w:hAnsi="Century Schoolbook"/>
        </w:rPr>
      </w:pPr>
    </w:p>
    <w:p w:rsidR="00610156" w:rsidRDefault="00610156" w:rsidP="00610156">
      <w:pPr>
        <w:pStyle w:val="NoSpacing"/>
        <w:jc w:val="both"/>
        <w:rPr>
          <w:rFonts w:ascii="Century Schoolbook" w:hAnsi="Century Schoolbook"/>
        </w:rPr>
      </w:pPr>
    </w:p>
    <w:p w:rsidR="00610156" w:rsidRDefault="00610156" w:rsidP="00610156">
      <w:pPr>
        <w:pStyle w:val="NoSpacing"/>
        <w:jc w:val="both"/>
        <w:rPr>
          <w:rFonts w:ascii="Century Schoolbook" w:hAnsi="Century Schoolbook"/>
        </w:rPr>
      </w:pPr>
    </w:p>
    <w:p w:rsidR="00610156" w:rsidRDefault="00610156" w:rsidP="00610156">
      <w:pPr>
        <w:pStyle w:val="NoSpacing"/>
        <w:jc w:val="both"/>
        <w:rPr>
          <w:rFonts w:ascii="Century Schoolbook" w:hAnsi="Century Schoolbook"/>
        </w:rPr>
      </w:pPr>
    </w:p>
    <w:p w:rsidR="00610156" w:rsidRDefault="00610156" w:rsidP="00610156">
      <w:pPr>
        <w:pStyle w:val="NoSpacing"/>
        <w:jc w:val="both"/>
        <w:rPr>
          <w:rFonts w:ascii="Century Schoolbook" w:hAnsi="Century Schoolbook"/>
        </w:rPr>
      </w:pPr>
    </w:p>
    <w:p w:rsidR="00610156" w:rsidRDefault="00610156" w:rsidP="00610156">
      <w:pPr>
        <w:pStyle w:val="NoSpacing"/>
        <w:jc w:val="both"/>
        <w:rPr>
          <w:rFonts w:ascii="Century Schoolbook" w:hAnsi="Century Schoolbook"/>
        </w:rPr>
      </w:pPr>
    </w:p>
    <w:p w:rsidR="00610156" w:rsidRDefault="00610156" w:rsidP="00610156">
      <w:pPr>
        <w:pStyle w:val="NoSpacing"/>
        <w:jc w:val="both"/>
        <w:rPr>
          <w:rFonts w:ascii="Century Schoolbook" w:hAnsi="Century Schoolbook"/>
        </w:rPr>
      </w:pPr>
    </w:p>
    <w:p w:rsidR="00610156" w:rsidRPr="0052717A" w:rsidRDefault="00CA3C6F" w:rsidP="00610156">
      <w:pPr>
        <w:pStyle w:val="NoSpacing"/>
        <w:ind w:left="6480" w:firstLine="720"/>
        <w:jc w:val="both"/>
        <w:rPr>
          <w:rFonts w:ascii="Century Schoolbook" w:hAnsi="Century Schoolbook"/>
        </w:rPr>
      </w:pPr>
      <w:r>
        <w:rPr>
          <w:rFonts w:ascii="Century Schoolbook" w:hAnsi="Century Schoolbook"/>
        </w:rPr>
        <w:t>Duke Law School</w:t>
      </w:r>
    </w:p>
    <w:p w:rsidR="00610156" w:rsidRPr="0052717A" w:rsidRDefault="00CA3C6F" w:rsidP="00610156">
      <w:pPr>
        <w:pStyle w:val="NoSpacing"/>
        <w:jc w:val="both"/>
        <w:rPr>
          <w:rFonts w:ascii="Century Schoolbook" w:hAnsi="Century Schoolbook"/>
        </w:rPr>
      </w:pPr>
      <w:r w:rsidRPr="0052717A">
        <w:rPr>
          <w:rFonts w:ascii="Century Schoolbook" w:hAnsi="Century Schoolbook"/>
        </w:rPr>
        <w:tab/>
      </w:r>
      <w:r w:rsidRPr="0052717A">
        <w:rPr>
          <w:rFonts w:ascii="Century Schoolbook" w:hAnsi="Century Schoolbook"/>
        </w:rPr>
        <w:tab/>
      </w:r>
      <w:r w:rsidRPr="0052717A">
        <w:rPr>
          <w:rFonts w:ascii="Century Schoolbook" w:hAnsi="Century Schoolbook"/>
        </w:rPr>
        <w:tab/>
      </w:r>
      <w:r w:rsidRPr="0052717A">
        <w:rPr>
          <w:rFonts w:ascii="Century Schoolbook" w:hAnsi="Century Schoolbook"/>
        </w:rPr>
        <w:tab/>
      </w:r>
      <w:r w:rsidRPr="0052717A">
        <w:rPr>
          <w:rFonts w:ascii="Century Schoolbook" w:hAnsi="Century Schoolbook"/>
        </w:rPr>
        <w:tab/>
      </w:r>
      <w:r w:rsidRPr="0052717A">
        <w:rPr>
          <w:rFonts w:ascii="Century Schoolbook" w:hAnsi="Century Schoolbook"/>
        </w:rPr>
        <w:tab/>
      </w:r>
      <w:r w:rsidRPr="0052717A">
        <w:rPr>
          <w:rFonts w:ascii="Century Schoolbook" w:hAnsi="Century Schoolbook"/>
        </w:rPr>
        <w:tab/>
      </w:r>
      <w:r w:rsidRPr="0052717A">
        <w:rPr>
          <w:rFonts w:ascii="Century Schoolbook" w:hAnsi="Century Schoolbook"/>
        </w:rPr>
        <w:tab/>
      </w:r>
      <w:r>
        <w:rPr>
          <w:rFonts w:ascii="Century Schoolbook" w:hAnsi="Century Schoolbook"/>
        </w:rPr>
        <w:tab/>
      </w:r>
      <w:r>
        <w:rPr>
          <w:rFonts w:ascii="Century Schoolbook" w:hAnsi="Century Schoolbook"/>
        </w:rPr>
        <w:tab/>
      </w:r>
      <w:r w:rsidR="00A8215C">
        <w:rPr>
          <w:rFonts w:ascii="Century Schoolbook" w:hAnsi="Century Schoolbook"/>
        </w:rPr>
        <w:t>May 14</w:t>
      </w:r>
      <w:r w:rsidRPr="0052717A">
        <w:rPr>
          <w:rFonts w:ascii="Century Schoolbook" w:hAnsi="Century Schoolbook"/>
        </w:rPr>
        <w:t>, 2018</w:t>
      </w:r>
    </w:p>
    <w:p w:rsidR="007F0D90" w:rsidRDefault="007F0D90" w:rsidP="00610156">
      <w:pPr>
        <w:spacing w:after="120"/>
        <w:jc w:val="center"/>
        <w:rPr>
          <w:rFonts w:ascii="Century Schoolbook" w:hAnsi="Century Schoolbook"/>
          <w:b/>
          <w:sz w:val="24"/>
          <w:szCs w:val="24"/>
        </w:rPr>
      </w:pPr>
    </w:p>
    <w:p w:rsidR="00610156" w:rsidRPr="00750975" w:rsidRDefault="00CA3C6F" w:rsidP="00610156">
      <w:pPr>
        <w:spacing w:after="120"/>
        <w:jc w:val="center"/>
        <w:rPr>
          <w:rFonts w:ascii="Century Schoolbook" w:hAnsi="Century Schoolbook"/>
          <w:b/>
          <w:sz w:val="24"/>
          <w:szCs w:val="24"/>
        </w:rPr>
      </w:pPr>
      <w:r w:rsidRPr="00750975">
        <w:rPr>
          <w:rFonts w:ascii="Century Schoolbook" w:hAnsi="Century Schoolbook"/>
          <w:b/>
          <w:sz w:val="24"/>
          <w:szCs w:val="24"/>
        </w:rPr>
        <w:lastRenderedPageBreak/>
        <w:t>FOREWORD†</w:t>
      </w:r>
    </w:p>
    <w:p w:rsidR="00610156" w:rsidRPr="00750975" w:rsidRDefault="00CA3C6F" w:rsidP="00610156">
      <w:pPr>
        <w:rPr>
          <w:rFonts w:ascii="Century Schoolbook" w:hAnsi="Century Schoolbook"/>
          <w:sz w:val="24"/>
          <w:szCs w:val="24"/>
        </w:rPr>
      </w:pPr>
      <w:r w:rsidRPr="00750975">
        <w:rPr>
          <w:rFonts w:ascii="Century Schoolbook" w:hAnsi="Century Schoolbook"/>
          <w:sz w:val="24"/>
          <w:szCs w:val="24"/>
        </w:rPr>
        <w:tab/>
        <w:t xml:space="preserve">The Duke Law Center for Judicial Studies held a series of bench-bar MDL conferences in 2013, 2014, 2015, and 2016.  The conferences revealed a growing and large number of cases centralized in a few mass-tort MDLs.  These mass-tort MDLs present enormous challenges to transferee judges assigned to manage them.  There is little official guidance and no rules explicitly governing the management of mass-tort MDLs, often requiring the transferee judge to develop procedures out of whole cloth. Under the auspices of the Duke Law Judicial Studies Center, which has now become the Bolch Judicial Institute, volunteer judges and practitioners have been examining the various procedures adopted by MDL transferee judges with a view to developing and providing more uniform guidance.     </w:t>
      </w:r>
    </w:p>
    <w:p w:rsidR="00610156" w:rsidRPr="00750975" w:rsidRDefault="00610156" w:rsidP="00610156">
      <w:pPr>
        <w:rPr>
          <w:rFonts w:ascii="Century Schoolbook" w:hAnsi="Century Schoolbook"/>
          <w:sz w:val="24"/>
          <w:szCs w:val="24"/>
        </w:rPr>
      </w:pPr>
    </w:p>
    <w:p w:rsidR="00610156" w:rsidRPr="00750975" w:rsidRDefault="00CA3C6F" w:rsidP="00610156">
      <w:pPr>
        <w:rPr>
          <w:rFonts w:ascii="Century Schoolbook" w:hAnsi="Century Schoolbook"/>
          <w:sz w:val="24"/>
          <w:szCs w:val="24"/>
        </w:rPr>
      </w:pPr>
      <w:r w:rsidRPr="00750975">
        <w:rPr>
          <w:rFonts w:ascii="Century Schoolbook" w:hAnsi="Century Schoolbook"/>
          <w:sz w:val="24"/>
          <w:szCs w:val="24"/>
        </w:rPr>
        <w:tab/>
        <w:t xml:space="preserve">Following a bench-bar conference on May 2-3, 2013, more than thirty-five practitioners, equally balanced between plaintiff and defense lawyers, and judges drafted a report containing standards and best practices governing large and mass-tort MDLs.  The Center issued the report on December 19, 2014.  The report has been forwarded to every transferee judge assigned a large or mass-tort MDL.  </w:t>
      </w:r>
    </w:p>
    <w:p w:rsidR="00610156" w:rsidRPr="00750975" w:rsidRDefault="00610156" w:rsidP="00610156">
      <w:pPr>
        <w:rPr>
          <w:rFonts w:ascii="Century Schoolbook" w:hAnsi="Century Schoolbook"/>
          <w:sz w:val="24"/>
          <w:szCs w:val="24"/>
        </w:rPr>
      </w:pPr>
    </w:p>
    <w:p w:rsidR="00610156" w:rsidRPr="00750975" w:rsidRDefault="00CA3C6F" w:rsidP="00610156">
      <w:pPr>
        <w:rPr>
          <w:rFonts w:ascii="Century Schoolbook" w:hAnsi="Century Schoolbook"/>
          <w:sz w:val="24"/>
          <w:szCs w:val="24"/>
        </w:rPr>
      </w:pPr>
      <w:r w:rsidRPr="00750975">
        <w:rPr>
          <w:rFonts w:ascii="Century Schoolbook" w:hAnsi="Century Schoolbook"/>
          <w:sz w:val="24"/>
          <w:szCs w:val="24"/>
        </w:rPr>
        <w:tab/>
        <w:t>On October 27-28, 2016, the Judicial Studies Center held a bench-bar conference on Emerging Issues in Mass-Tort MDLs.  Four teams consisting of thirty</w:t>
      </w:r>
      <w:r>
        <w:rPr>
          <w:rFonts w:ascii="Century Schoolbook" w:hAnsi="Century Schoolbook"/>
          <w:sz w:val="24"/>
          <w:szCs w:val="24"/>
        </w:rPr>
        <w:t xml:space="preserve"> </w:t>
      </w:r>
      <w:r w:rsidRPr="00750975">
        <w:rPr>
          <w:rFonts w:ascii="Century Schoolbook" w:hAnsi="Century Schoolbook"/>
          <w:sz w:val="24"/>
          <w:szCs w:val="24"/>
        </w:rPr>
        <w:t xml:space="preserve">practitioners, equally balanced between plaintiff and defense lawyers, and seven judges volunteered to update and add new sections to the </w:t>
      </w:r>
      <w:r w:rsidRPr="00BB7EBD">
        <w:rPr>
          <w:rFonts w:ascii="Century Schoolbook" w:hAnsi="Century Schoolbook"/>
          <w:smallCaps/>
          <w:sz w:val="24"/>
          <w:szCs w:val="24"/>
        </w:rPr>
        <w:t xml:space="preserve">2014 MDL Standards and Best Practices. </w:t>
      </w:r>
    </w:p>
    <w:p w:rsidR="00610156" w:rsidRPr="00750975" w:rsidRDefault="00610156" w:rsidP="00610156">
      <w:pPr>
        <w:rPr>
          <w:rFonts w:ascii="Century Schoolbook" w:hAnsi="Century Schoolbook"/>
          <w:sz w:val="24"/>
          <w:szCs w:val="24"/>
        </w:rPr>
      </w:pPr>
    </w:p>
    <w:p w:rsidR="00610156" w:rsidRDefault="00CA3C6F" w:rsidP="00610156">
      <w:pPr>
        <w:rPr>
          <w:rFonts w:ascii="Century Schoolbook" w:hAnsi="Century Schoolbook"/>
          <w:sz w:val="24"/>
          <w:szCs w:val="24"/>
        </w:rPr>
      </w:pPr>
      <w:r w:rsidRPr="00750975">
        <w:rPr>
          <w:rFonts w:ascii="Century Schoolbook" w:hAnsi="Century Schoolbook"/>
          <w:sz w:val="24"/>
          <w:szCs w:val="24"/>
        </w:rPr>
        <w:tab/>
        <w:t>Teams were formed, and team leaders selected in early 2017.  In February 2017, the teams prepared outlines of new chapters and updates. They submitted drafts in the fall and winter, which were circulated among the team members, who reviewed and revised the drafts in accordance with the comments.  The revised drafts were then submitted to seven judges for their comment in early 2018.  The teams reviewed the judges’ comments and revised their drafts, which are now being circulated widely for public comment.</w:t>
      </w:r>
    </w:p>
    <w:p w:rsidR="00610156" w:rsidRDefault="00610156" w:rsidP="00610156">
      <w:pPr>
        <w:rPr>
          <w:rFonts w:ascii="Century Schoolbook" w:hAnsi="Century Schoolbook"/>
          <w:sz w:val="24"/>
          <w:szCs w:val="24"/>
        </w:rPr>
      </w:pPr>
    </w:p>
    <w:p w:rsidR="00610156" w:rsidRDefault="00CA3C6F" w:rsidP="00615077">
      <w:pPr>
        <w:ind w:firstLine="720"/>
        <w:rPr>
          <w:rFonts w:ascii="Century Schoolbook" w:hAnsi="Century Schoolbook"/>
          <w:sz w:val="24"/>
          <w:szCs w:val="24"/>
        </w:rPr>
      </w:pPr>
      <w:r w:rsidRPr="00750975">
        <w:rPr>
          <w:rFonts w:ascii="Century Schoolbook" w:hAnsi="Century Schoolbook"/>
          <w:sz w:val="24"/>
          <w:szCs w:val="24"/>
        </w:rPr>
        <w:t xml:space="preserve">This public-comment package revises and updates the </w:t>
      </w:r>
      <w:r w:rsidRPr="00750975">
        <w:rPr>
          <w:rFonts w:ascii="Century Schoolbook" w:hAnsi="Century Schoolbook"/>
          <w:smallCaps/>
          <w:sz w:val="24"/>
          <w:szCs w:val="24"/>
        </w:rPr>
        <w:t>2014 MDL Standards and Best Practices</w:t>
      </w:r>
      <w:r w:rsidRPr="00750975">
        <w:rPr>
          <w:rFonts w:ascii="Century Schoolbook" w:hAnsi="Century Schoolbook"/>
          <w:sz w:val="24"/>
          <w:szCs w:val="24"/>
        </w:rPr>
        <w:t xml:space="preserve">, adding: (1) new sections to Chapter 1 on the information individual plaintiffs should submit on filing </w:t>
      </w:r>
      <w:r>
        <w:rPr>
          <w:rFonts w:ascii="Century Schoolbook" w:hAnsi="Century Schoolbook"/>
          <w:sz w:val="24"/>
          <w:szCs w:val="24"/>
        </w:rPr>
        <w:t>a</w:t>
      </w:r>
      <w:r w:rsidRPr="00750975">
        <w:rPr>
          <w:rFonts w:ascii="Century Schoolbook" w:hAnsi="Century Schoolbook"/>
          <w:sz w:val="24"/>
          <w:szCs w:val="24"/>
        </w:rPr>
        <w:t xml:space="preserve"> claim; (2) a new Chapter 3 on lead counsel duties, including guidance on the extent of fiduciary duties owed by the plaintiff steering committee and lead counsel to all plaintiffs; (3) a new Chapter 4 on the role of non-leadership counsel; and (4) a new Chapter 6 on settlement review and claims-processing administration.   Selected text from the </w:t>
      </w:r>
      <w:r w:rsidRPr="00750975">
        <w:rPr>
          <w:rFonts w:ascii="Century Schoolbook" w:hAnsi="Century Schoolbook"/>
          <w:i/>
          <w:smallCaps/>
          <w:sz w:val="24"/>
          <w:szCs w:val="24"/>
        </w:rPr>
        <w:t>2014 MDL Standards and Best Practices</w:t>
      </w:r>
      <w:r w:rsidRPr="00750975">
        <w:rPr>
          <w:rFonts w:ascii="Century Schoolbook" w:hAnsi="Century Schoolbook"/>
          <w:sz w:val="24"/>
          <w:szCs w:val="24"/>
        </w:rPr>
        <w:t xml:space="preserve"> is given for context, set off by an elliptical series of three periods indicating omitted text.</w:t>
      </w:r>
      <w:r w:rsidRPr="00750975">
        <w:rPr>
          <w:rFonts w:ascii="Century Schoolbook" w:hAnsi="Century Schoolbook"/>
          <w:sz w:val="24"/>
          <w:szCs w:val="24"/>
        </w:rPr>
        <w:tab/>
      </w:r>
    </w:p>
    <w:p w:rsidR="00615077" w:rsidRDefault="00DC0D9B" w:rsidP="00DC0D9B">
      <w:pPr>
        <w:rPr>
          <w:rFonts w:ascii="Century Schoolbook" w:hAnsi="Century Schoolbook"/>
          <w:sz w:val="24"/>
          <w:szCs w:val="24"/>
        </w:rPr>
      </w:pPr>
      <w:r>
        <w:rPr>
          <w:rFonts w:ascii="Century Schoolbook" w:hAnsi="Century Schoolbook"/>
          <w:sz w:val="24"/>
          <w:szCs w:val="24"/>
        </w:rPr>
        <w:t>___________________________</w:t>
      </w:r>
    </w:p>
    <w:p w:rsidR="00610156" w:rsidRDefault="00CA3C6F" w:rsidP="00610156">
      <w:pPr>
        <w:rPr>
          <w:rFonts w:ascii="Century Schoolbook" w:hAnsi="Century Schoolbook"/>
          <w:sz w:val="18"/>
          <w:szCs w:val="18"/>
        </w:rPr>
      </w:pPr>
      <w:r w:rsidRPr="00726B11">
        <w:rPr>
          <w:rFonts w:ascii="Century Schoolbook" w:hAnsi="Century Schoolbook"/>
          <w:b/>
          <w:sz w:val="18"/>
          <w:szCs w:val="18"/>
        </w:rPr>
        <w:t>†</w:t>
      </w:r>
      <w:r w:rsidRPr="00DC0D9B">
        <w:rPr>
          <w:rFonts w:ascii="Century Schoolbook" w:hAnsi="Century Schoolbook"/>
          <w:sz w:val="18"/>
          <w:szCs w:val="18"/>
        </w:rPr>
        <w:t>Copyright ©2018, All Rights Reserved.  This document does not necessarily reflect the views of Duke Law School or its faculty, or any other organization including the Judicial Conference of the United States or any other government unit.</w:t>
      </w:r>
    </w:p>
    <w:p w:rsidR="00610156" w:rsidRPr="00750975" w:rsidRDefault="00CA3C6F" w:rsidP="00610156">
      <w:pPr>
        <w:ind w:firstLine="720"/>
        <w:rPr>
          <w:rFonts w:ascii="Century Schoolbook" w:hAnsi="Century Schoolbook"/>
          <w:sz w:val="24"/>
          <w:szCs w:val="24"/>
        </w:rPr>
      </w:pPr>
      <w:r w:rsidRPr="00BB7EBD">
        <w:rPr>
          <w:rFonts w:ascii="Century Schoolbook" w:hAnsi="Century Schoolbook"/>
          <w:sz w:val="24"/>
          <w:szCs w:val="24"/>
        </w:rPr>
        <w:lastRenderedPageBreak/>
        <w:t xml:space="preserve">The </w:t>
      </w:r>
      <w:r>
        <w:rPr>
          <w:rFonts w:ascii="Century Schoolbook" w:hAnsi="Century Schoolbook"/>
          <w:sz w:val="24"/>
          <w:szCs w:val="24"/>
        </w:rPr>
        <w:t xml:space="preserve">updated </w:t>
      </w:r>
      <w:r w:rsidRPr="00BB7EBD">
        <w:rPr>
          <w:rFonts w:ascii="Century Schoolbook" w:hAnsi="Century Schoolbook"/>
          <w:smallCaps/>
          <w:sz w:val="24"/>
          <w:szCs w:val="24"/>
        </w:rPr>
        <w:t>MDL Standards and Best Practices</w:t>
      </w:r>
      <w:r>
        <w:rPr>
          <w:rFonts w:ascii="Century Schoolbook" w:hAnsi="Century Schoolbook"/>
          <w:sz w:val="24"/>
          <w:szCs w:val="24"/>
        </w:rPr>
        <w:t xml:space="preserve"> </w:t>
      </w:r>
      <w:r w:rsidRPr="00BB7EBD">
        <w:rPr>
          <w:rFonts w:ascii="Century Schoolbook" w:hAnsi="Century Schoolbook"/>
          <w:sz w:val="24"/>
          <w:szCs w:val="24"/>
        </w:rPr>
        <w:t xml:space="preserve">are the culmination of a process that began in </w:t>
      </w:r>
      <w:r>
        <w:rPr>
          <w:rFonts w:ascii="Century Schoolbook" w:hAnsi="Century Schoolbook"/>
          <w:sz w:val="24"/>
          <w:szCs w:val="24"/>
        </w:rPr>
        <w:t>October</w:t>
      </w:r>
      <w:r w:rsidRPr="00BB7EBD">
        <w:rPr>
          <w:rFonts w:ascii="Century Schoolbook" w:hAnsi="Century Schoolbook"/>
          <w:sz w:val="24"/>
          <w:szCs w:val="24"/>
        </w:rPr>
        <w:t xml:space="preserve"> 2016.  Although Duke Law retained editorial control, this iterative drafting process provided multiple opportunities for the volunteers on the </w:t>
      </w:r>
      <w:r>
        <w:rPr>
          <w:rFonts w:ascii="Century Schoolbook" w:hAnsi="Century Schoolbook"/>
          <w:sz w:val="24"/>
          <w:szCs w:val="24"/>
        </w:rPr>
        <w:t>four</w:t>
      </w:r>
      <w:r w:rsidRPr="00BB7EBD">
        <w:rPr>
          <w:rFonts w:ascii="Century Schoolbook" w:hAnsi="Century Schoolbook"/>
          <w:sz w:val="24"/>
          <w:szCs w:val="24"/>
        </w:rPr>
        <w:t xml:space="preserve"> teams to confer, suggest edits, and comment on the </w:t>
      </w:r>
      <w:r>
        <w:rPr>
          <w:rFonts w:ascii="Century Schoolbook" w:hAnsi="Century Schoolbook"/>
          <w:sz w:val="24"/>
          <w:szCs w:val="24"/>
        </w:rPr>
        <w:t>draft</w:t>
      </w:r>
      <w:r w:rsidRPr="00BB7EBD">
        <w:rPr>
          <w:rFonts w:ascii="Century Schoolbook" w:hAnsi="Century Schoolbook"/>
          <w:sz w:val="24"/>
          <w:szCs w:val="24"/>
        </w:rPr>
        <w:t xml:space="preserve">. Substantial revisions were made during the process.  Many compromises, affecting matters on which the </w:t>
      </w:r>
      <w:r>
        <w:rPr>
          <w:rFonts w:ascii="Century Schoolbook" w:hAnsi="Century Schoolbook"/>
          <w:sz w:val="24"/>
          <w:szCs w:val="24"/>
        </w:rPr>
        <w:t>30</w:t>
      </w:r>
      <w:r w:rsidRPr="00BB7EBD">
        <w:rPr>
          <w:rFonts w:ascii="Century Schoolbook" w:hAnsi="Century Schoolbook"/>
          <w:sz w:val="24"/>
          <w:szCs w:val="24"/>
        </w:rPr>
        <w:t xml:space="preserve"> volunteer contributors hold passionate views, were also reached.  But the </w:t>
      </w:r>
      <w:r>
        <w:rPr>
          <w:rFonts w:ascii="Century Schoolbook" w:hAnsi="Century Schoolbook"/>
          <w:sz w:val="24"/>
          <w:szCs w:val="24"/>
        </w:rPr>
        <w:t>draft</w:t>
      </w:r>
      <w:r w:rsidRPr="00BB7EBD">
        <w:rPr>
          <w:rFonts w:ascii="Century Schoolbook" w:hAnsi="Century Schoolbook"/>
          <w:sz w:val="24"/>
          <w:szCs w:val="24"/>
        </w:rPr>
        <w:t xml:space="preserve"> should not be viewed as representing unanimous agreement, and individual volunteer contributors may not necessarily agree with every recommendation. </w:t>
      </w:r>
    </w:p>
    <w:p w:rsidR="00610156" w:rsidRDefault="00610156" w:rsidP="00610156">
      <w:pPr>
        <w:pStyle w:val="NoSpacing"/>
        <w:rPr>
          <w:rFonts w:ascii="Century Schoolbook" w:hAnsi="Century Schoolbook"/>
          <w:sz w:val="24"/>
          <w:szCs w:val="24"/>
        </w:rPr>
      </w:pPr>
    </w:p>
    <w:p w:rsidR="00610156" w:rsidRPr="00750975" w:rsidRDefault="00CA3C6F" w:rsidP="00610156">
      <w:pPr>
        <w:pStyle w:val="NoSpacing"/>
        <w:ind w:firstLine="720"/>
        <w:rPr>
          <w:rFonts w:ascii="Century Schoolbook" w:hAnsi="Century Schoolbook"/>
          <w:sz w:val="24"/>
          <w:szCs w:val="24"/>
        </w:rPr>
      </w:pPr>
      <w:r w:rsidRPr="00750975">
        <w:rPr>
          <w:rFonts w:ascii="Century Schoolbook" w:hAnsi="Century Schoolbook"/>
          <w:sz w:val="24"/>
          <w:szCs w:val="24"/>
        </w:rPr>
        <w:t xml:space="preserve">After the expiration of the public-comment review, the teams will make appropriate revisions and incorporate the additions and revisions into the December </w:t>
      </w:r>
      <w:r w:rsidRPr="00750975">
        <w:rPr>
          <w:rFonts w:ascii="Century Schoolbook" w:hAnsi="Century Schoolbook"/>
          <w:smallCaps/>
          <w:sz w:val="24"/>
          <w:szCs w:val="24"/>
        </w:rPr>
        <w:t>2014</w:t>
      </w:r>
      <w:r w:rsidRPr="00750975">
        <w:rPr>
          <w:rFonts w:ascii="Century Schoolbook" w:hAnsi="Century Schoolbook"/>
          <w:sz w:val="24"/>
          <w:szCs w:val="24"/>
        </w:rPr>
        <w:t xml:space="preserve"> </w:t>
      </w:r>
      <w:r w:rsidRPr="00750975">
        <w:rPr>
          <w:rFonts w:ascii="Century Schoolbook" w:hAnsi="Century Schoolbook"/>
          <w:smallCaps/>
          <w:sz w:val="24"/>
          <w:szCs w:val="24"/>
        </w:rPr>
        <w:t>MDL Standards and Best Practices</w:t>
      </w:r>
      <w:r w:rsidRPr="00750975">
        <w:rPr>
          <w:rFonts w:ascii="Century Schoolbook" w:hAnsi="Century Schoolbook"/>
          <w:sz w:val="24"/>
          <w:szCs w:val="24"/>
        </w:rPr>
        <w:t xml:space="preserve">.  The single, consolidated document will be posted on the Institute’s web site and made available to the bench and bar and forwarded to every transferee judge of a large or mass-tort MDL.  A separate document containing only the </w:t>
      </w:r>
      <w:r w:rsidRPr="00BB7EBD">
        <w:rPr>
          <w:rFonts w:ascii="Century Schoolbook" w:hAnsi="Century Schoolbook"/>
          <w:smallCaps/>
          <w:sz w:val="24"/>
          <w:szCs w:val="24"/>
        </w:rPr>
        <w:t>MDL Standards and Best Practices</w:t>
      </w:r>
      <w:r w:rsidRPr="00750975">
        <w:rPr>
          <w:rFonts w:ascii="Century Schoolbook" w:hAnsi="Century Schoolbook"/>
          <w:sz w:val="24"/>
          <w:szCs w:val="24"/>
        </w:rPr>
        <w:t xml:space="preserve"> will also be posted. </w:t>
      </w:r>
    </w:p>
    <w:p w:rsidR="00610156" w:rsidRPr="00750975" w:rsidRDefault="00610156" w:rsidP="00610156">
      <w:pPr>
        <w:pStyle w:val="NoSpacing"/>
        <w:jc w:val="both"/>
        <w:rPr>
          <w:rFonts w:ascii="Century Schoolbook" w:hAnsi="Century Schoolbook"/>
          <w:sz w:val="24"/>
          <w:szCs w:val="24"/>
        </w:rPr>
      </w:pPr>
    </w:p>
    <w:p w:rsidR="00610156" w:rsidRPr="00750975" w:rsidRDefault="00CA3C6F" w:rsidP="00610156">
      <w:pPr>
        <w:pStyle w:val="NoSpacing"/>
        <w:ind w:left="720"/>
        <w:jc w:val="both"/>
        <w:rPr>
          <w:rFonts w:ascii="Century Schoolbook" w:hAnsi="Century Schoolbook"/>
          <w:sz w:val="24"/>
          <w:szCs w:val="24"/>
        </w:rPr>
      </w:pPr>
      <w:r w:rsidRPr="00750975">
        <w:rPr>
          <w:rFonts w:ascii="Century Schoolbook" w:hAnsi="Century Schoolbook"/>
          <w:sz w:val="24"/>
          <w:szCs w:val="24"/>
        </w:rPr>
        <w:tab/>
        <w:t xml:space="preserve">         </w:t>
      </w:r>
      <w:r w:rsidRPr="00750975">
        <w:rPr>
          <w:rFonts w:ascii="Century Schoolbook" w:hAnsi="Century Schoolbook"/>
          <w:sz w:val="24"/>
          <w:szCs w:val="24"/>
        </w:rPr>
        <w:tab/>
      </w:r>
      <w:r w:rsidRPr="00750975">
        <w:rPr>
          <w:rFonts w:ascii="Century Schoolbook" w:hAnsi="Century Schoolbook"/>
          <w:sz w:val="24"/>
          <w:szCs w:val="24"/>
        </w:rPr>
        <w:tab/>
      </w:r>
      <w:r w:rsidRPr="00750975">
        <w:rPr>
          <w:rFonts w:ascii="Century Schoolbook" w:hAnsi="Century Schoolbook"/>
          <w:sz w:val="24"/>
          <w:szCs w:val="24"/>
        </w:rPr>
        <w:tab/>
      </w:r>
      <w:r w:rsidRPr="00750975">
        <w:rPr>
          <w:rFonts w:ascii="Century Schoolbook" w:hAnsi="Century Schoolbook"/>
          <w:sz w:val="24"/>
          <w:szCs w:val="24"/>
        </w:rPr>
        <w:tab/>
      </w:r>
      <w:r w:rsidRPr="00750975">
        <w:rPr>
          <w:rFonts w:ascii="Century Schoolbook" w:hAnsi="Century Schoolbook"/>
          <w:sz w:val="24"/>
          <w:szCs w:val="24"/>
        </w:rPr>
        <w:tab/>
      </w:r>
      <w:r w:rsidRPr="00750975">
        <w:rPr>
          <w:rFonts w:ascii="Century Schoolbook" w:hAnsi="Century Schoolbook"/>
          <w:sz w:val="24"/>
          <w:szCs w:val="24"/>
        </w:rPr>
        <w:tab/>
      </w:r>
      <w:r w:rsidRPr="00750975">
        <w:rPr>
          <w:rFonts w:ascii="Century Schoolbook" w:hAnsi="Century Schoolbook"/>
          <w:sz w:val="24"/>
          <w:szCs w:val="24"/>
        </w:rPr>
        <w:tab/>
      </w:r>
      <w:r w:rsidRPr="00750975">
        <w:rPr>
          <w:rFonts w:ascii="Century Schoolbook" w:hAnsi="Century Schoolbook"/>
          <w:sz w:val="24"/>
          <w:szCs w:val="24"/>
        </w:rPr>
        <w:tab/>
        <w:t xml:space="preserve">     </w:t>
      </w:r>
      <w:r w:rsidRPr="00750975">
        <w:rPr>
          <w:rFonts w:ascii="Century Schoolbook" w:hAnsi="Century Schoolbook"/>
          <w:sz w:val="24"/>
          <w:szCs w:val="24"/>
        </w:rPr>
        <w:tab/>
      </w:r>
      <w:r w:rsidRPr="00750975">
        <w:rPr>
          <w:rFonts w:ascii="Century Schoolbook" w:hAnsi="Century Schoolbook"/>
          <w:sz w:val="24"/>
          <w:szCs w:val="24"/>
        </w:rPr>
        <w:tab/>
      </w:r>
      <w:r w:rsidRPr="00750975">
        <w:rPr>
          <w:rFonts w:ascii="Century Schoolbook" w:hAnsi="Century Schoolbook"/>
          <w:sz w:val="24"/>
          <w:szCs w:val="24"/>
        </w:rPr>
        <w:tab/>
      </w:r>
      <w:r w:rsidRPr="00750975">
        <w:rPr>
          <w:rFonts w:ascii="Century Schoolbook" w:hAnsi="Century Schoolbook"/>
          <w:sz w:val="24"/>
          <w:szCs w:val="24"/>
        </w:rPr>
        <w:tab/>
      </w:r>
      <w:r w:rsidRPr="00750975">
        <w:rPr>
          <w:rFonts w:ascii="Century Schoolbook" w:hAnsi="Century Schoolbook"/>
          <w:sz w:val="24"/>
          <w:szCs w:val="24"/>
        </w:rPr>
        <w:tab/>
      </w:r>
      <w:r w:rsidRPr="00750975">
        <w:rPr>
          <w:rFonts w:ascii="Century Schoolbook" w:hAnsi="Century Schoolbook"/>
          <w:sz w:val="24"/>
          <w:szCs w:val="24"/>
        </w:rPr>
        <w:tab/>
      </w:r>
      <w:r w:rsidRPr="00750975">
        <w:rPr>
          <w:rFonts w:ascii="Century Schoolbook" w:hAnsi="Century Schoolbook"/>
          <w:sz w:val="24"/>
          <w:szCs w:val="24"/>
        </w:rPr>
        <w:tab/>
      </w:r>
      <w:r w:rsidRPr="00750975">
        <w:rPr>
          <w:rFonts w:ascii="Century Schoolbook" w:hAnsi="Century Schoolbook"/>
          <w:sz w:val="24"/>
          <w:szCs w:val="24"/>
        </w:rPr>
        <w:tab/>
        <w:t xml:space="preserve">                      John K. Rabiej, Deputy Director</w:t>
      </w:r>
    </w:p>
    <w:p w:rsidR="00610156" w:rsidRPr="00750975" w:rsidRDefault="00CA3C6F" w:rsidP="00610156">
      <w:pPr>
        <w:jc w:val="both"/>
        <w:rPr>
          <w:rFonts w:ascii="Century Schoolbook" w:hAnsi="Century Schoolbook"/>
          <w:sz w:val="24"/>
          <w:szCs w:val="24"/>
        </w:rPr>
      </w:pPr>
      <w:r w:rsidRPr="00750975">
        <w:rPr>
          <w:rFonts w:ascii="Century Schoolbook" w:hAnsi="Century Schoolbook"/>
          <w:sz w:val="24"/>
          <w:szCs w:val="24"/>
        </w:rPr>
        <w:tab/>
      </w:r>
      <w:r w:rsidRPr="00750975">
        <w:rPr>
          <w:rFonts w:ascii="Century Schoolbook" w:hAnsi="Century Schoolbook"/>
          <w:sz w:val="24"/>
          <w:szCs w:val="24"/>
        </w:rPr>
        <w:tab/>
      </w:r>
      <w:r w:rsidRPr="00750975">
        <w:rPr>
          <w:rFonts w:ascii="Century Schoolbook" w:hAnsi="Century Schoolbook"/>
          <w:sz w:val="24"/>
          <w:szCs w:val="24"/>
        </w:rPr>
        <w:tab/>
      </w:r>
      <w:r w:rsidRPr="00750975">
        <w:rPr>
          <w:rFonts w:ascii="Century Schoolbook" w:hAnsi="Century Schoolbook"/>
          <w:sz w:val="24"/>
          <w:szCs w:val="24"/>
        </w:rPr>
        <w:tab/>
        <w:t xml:space="preserve">         </w:t>
      </w:r>
      <w:r>
        <w:rPr>
          <w:rFonts w:ascii="Century Schoolbook" w:hAnsi="Century Schoolbook"/>
          <w:sz w:val="24"/>
          <w:szCs w:val="24"/>
        </w:rPr>
        <w:tab/>
      </w:r>
      <w:r>
        <w:rPr>
          <w:rFonts w:ascii="Century Schoolbook" w:hAnsi="Century Schoolbook"/>
          <w:sz w:val="24"/>
          <w:szCs w:val="24"/>
        </w:rPr>
        <w:tab/>
        <w:t xml:space="preserve">     </w:t>
      </w:r>
      <w:r w:rsidRPr="00750975">
        <w:rPr>
          <w:rFonts w:ascii="Century Schoolbook" w:hAnsi="Century Schoolbook"/>
          <w:sz w:val="24"/>
          <w:szCs w:val="24"/>
        </w:rPr>
        <w:t xml:space="preserve"> Bolch Judicial Institute, Duke Law School</w:t>
      </w:r>
    </w:p>
    <w:p w:rsidR="00610156" w:rsidRPr="00750975" w:rsidRDefault="00CA3C6F" w:rsidP="00610156">
      <w:pPr>
        <w:jc w:val="both"/>
        <w:rPr>
          <w:rFonts w:ascii="Century Schoolbook" w:hAnsi="Century Schoolbook"/>
          <w:sz w:val="24"/>
          <w:szCs w:val="24"/>
        </w:rPr>
      </w:pPr>
      <w:r w:rsidRPr="00750975">
        <w:rPr>
          <w:rFonts w:ascii="Century Schoolbook" w:hAnsi="Century Schoolbook"/>
          <w:sz w:val="24"/>
          <w:szCs w:val="24"/>
        </w:rPr>
        <w:tab/>
      </w:r>
      <w:r w:rsidRPr="00750975">
        <w:rPr>
          <w:rFonts w:ascii="Century Schoolbook" w:hAnsi="Century Schoolbook"/>
          <w:sz w:val="24"/>
          <w:szCs w:val="24"/>
        </w:rPr>
        <w:tab/>
      </w:r>
      <w:r w:rsidRPr="00750975">
        <w:rPr>
          <w:rFonts w:ascii="Century Schoolbook" w:hAnsi="Century Schoolbook"/>
          <w:sz w:val="24"/>
          <w:szCs w:val="24"/>
        </w:rPr>
        <w:tab/>
      </w:r>
      <w:r w:rsidRPr="00750975">
        <w:rPr>
          <w:rFonts w:ascii="Century Schoolbook" w:hAnsi="Century Schoolbook"/>
          <w:sz w:val="24"/>
          <w:szCs w:val="24"/>
        </w:rPr>
        <w:tab/>
      </w:r>
    </w:p>
    <w:p w:rsidR="00610156" w:rsidRPr="00750975" w:rsidRDefault="00CA3C6F" w:rsidP="00610156">
      <w:pPr>
        <w:jc w:val="both"/>
        <w:rPr>
          <w:rFonts w:ascii="Century Schoolbook" w:hAnsi="Century Schoolbook"/>
          <w:sz w:val="24"/>
          <w:szCs w:val="24"/>
        </w:rPr>
      </w:pPr>
      <w:r w:rsidRPr="00750975">
        <w:rPr>
          <w:rFonts w:ascii="Century Schoolbook" w:hAnsi="Century Schoolbook"/>
          <w:sz w:val="24"/>
          <w:szCs w:val="24"/>
        </w:rPr>
        <w:tab/>
      </w:r>
      <w:r w:rsidRPr="00750975">
        <w:rPr>
          <w:rFonts w:ascii="Century Schoolbook" w:hAnsi="Century Schoolbook"/>
          <w:sz w:val="24"/>
          <w:szCs w:val="24"/>
        </w:rPr>
        <w:tab/>
      </w:r>
      <w:r>
        <w:rPr>
          <w:rFonts w:ascii="Century Schoolbook" w:hAnsi="Century Schoolbook"/>
          <w:sz w:val="24"/>
          <w:szCs w:val="24"/>
        </w:rPr>
        <w:t xml:space="preserve">                   </w:t>
      </w:r>
      <w:r w:rsidRPr="00750975">
        <w:rPr>
          <w:rFonts w:ascii="Century Schoolbook" w:hAnsi="Century Schoolbook"/>
          <w:sz w:val="24"/>
          <w:szCs w:val="24"/>
        </w:rPr>
        <w:t>Malini Moorthy, Chair, Distinguished Lawyers’ Conferences</w:t>
      </w:r>
    </w:p>
    <w:p w:rsidR="00610156" w:rsidRPr="00750975" w:rsidRDefault="00CA3C6F" w:rsidP="00610156">
      <w:pPr>
        <w:ind w:right="-90"/>
        <w:rPr>
          <w:rFonts w:ascii="Century Schoolbook" w:hAnsi="Century Schoolbook"/>
          <w:sz w:val="24"/>
          <w:szCs w:val="24"/>
        </w:rPr>
      </w:pPr>
      <w:r w:rsidRPr="00750975">
        <w:rPr>
          <w:rFonts w:ascii="Century Schoolbook" w:hAnsi="Century Schoolbook"/>
          <w:sz w:val="24"/>
          <w:szCs w:val="24"/>
        </w:rPr>
        <w:tab/>
      </w:r>
      <w:r w:rsidRPr="00750975">
        <w:rPr>
          <w:rFonts w:ascii="Century Schoolbook" w:hAnsi="Century Schoolbook"/>
          <w:sz w:val="24"/>
          <w:szCs w:val="24"/>
        </w:rPr>
        <w:tab/>
      </w:r>
      <w:r w:rsidRPr="00750975">
        <w:rPr>
          <w:rFonts w:ascii="Century Schoolbook" w:hAnsi="Century Schoolbook"/>
          <w:sz w:val="24"/>
          <w:szCs w:val="24"/>
        </w:rPr>
        <w:tab/>
      </w:r>
      <w:r>
        <w:rPr>
          <w:rFonts w:ascii="Century Schoolbook" w:hAnsi="Century Schoolbook"/>
          <w:sz w:val="24"/>
          <w:szCs w:val="24"/>
        </w:rPr>
        <w:t xml:space="preserve">   </w:t>
      </w:r>
      <w:r w:rsidRPr="00750975">
        <w:rPr>
          <w:rFonts w:ascii="Century Schoolbook" w:hAnsi="Century Schoolbook"/>
          <w:sz w:val="24"/>
          <w:szCs w:val="24"/>
        </w:rPr>
        <w:t xml:space="preserve">  </w:t>
      </w:r>
      <w:r>
        <w:rPr>
          <w:rFonts w:ascii="Century Schoolbook" w:hAnsi="Century Schoolbook"/>
          <w:sz w:val="24"/>
          <w:szCs w:val="24"/>
        </w:rPr>
        <w:t xml:space="preserve"> </w:t>
      </w:r>
      <w:r w:rsidRPr="00750975">
        <w:rPr>
          <w:rFonts w:ascii="Century Schoolbook" w:hAnsi="Century Schoolbook"/>
          <w:sz w:val="24"/>
          <w:szCs w:val="24"/>
        </w:rPr>
        <w:t>Dena Sharp, Vice-Chair, Distinguished Lawyers’ Conferences</w:t>
      </w:r>
    </w:p>
    <w:p w:rsidR="00610156" w:rsidRPr="00750975" w:rsidRDefault="00610156" w:rsidP="00610156">
      <w:pPr>
        <w:rPr>
          <w:rFonts w:ascii="Century Schoolbook" w:hAnsi="Century Schoolbook"/>
          <w:sz w:val="24"/>
          <w:szCs w:val="24"/>
        </w:rPr>
      </w:pPr>
    </w:p>
    <w:p w:rsidR="00610156" w:rsidRPr="00750975" w:rsidRDefault="00610156" w:rsidP="00610156">
      <w:pPr>
        <w:rPr>
          <w:rFonts w:ascii="Century Schoolbook" w:hAnsi="Century Schoolbook"/>
          <w:sz w:val="24"/>
          <w:szCs w:val="24"/>
        </w:rPr>
      </w:pPr>
    </w:p>
    <w:p w:rsidR="00610156" w:rsidRPr="00A94099" w:rsidRDefault="00610156" w:rsidP="00610156">
      <w:pPr>
        <w:rPr>
          <w:rFonts w:ascii="Century Schoolbook" w:hAnsi="Century Schoolbook"/>
        </w:rPr>
      </w:pPr>
    </w:p>
    <w:p w:rsidR="00610156" w:rsidRDefault="00CA3C6F" w:rsidP="00610156">
      <w:pPr>
        <w:jc w:val="both"/>
        <w:rPr>
          <w:rFonts w:ascii="Century Schoolbook" w:hAnsi="Century Schoolbook"/>
          <w:b/>
        </w:rPr>
      </w:pPr>
      <w:r>
        <w:rPr>
          <w:rFonts w:ascii="Century Schoolbook" w:hAnsi="Century Schoolbook"/>
          <w:b/>
        </w:rPr>
        <w:tab/>
      </w:r>
      <w:r>
        <w:rPr>
          <w:rFonts w:ascii="Century Schoolbook" w:hAnsi="Century Schoolbook"/>
          <w:b/>
        </w:rPr>
        <w:tab/>
      </w:r>
      <w:r>
        <w:rPr>
          <w:rFonts w:ascii="Century Schoolbook" w:hAnsi="Century Schoolbook"/>
          <w:b/>
        </w:rPr>
        <w:tab/>
      </w:r>
      <w:r>
        <w:rPr>
          <w:rFonts w:ascii="Century Schoolbook" w:hAnsi="Century Schoolbook"/>
          <w:b/>
        </w:rPr>
        <w:tab/>
      </w:r>
    </w:p>
    <w:p w:rsidR="00610156" w:rsidRDefault="00610156" w:rsidP="00610156">
      <w:pPr>
        <w:jc w:val="both"/>
        <w:rPr>
          <w:rFonts w:ascii="Century Schoolbook" w:hAnsi="Century Schoolbook"/>
          <w:b/>
        </w:rPr>
      </w:pPr>
    </w:p>
    <w:p w:rsidR="00610156" w:rsidRDefault="00610156" w:rsidP="00610156">
      <w:pPr>
        <w:jc w:val="both"/>
        <w:rPr>
          <w:rFonts w:ascii="Century Schoolbook" w:hAnsi="Century Schoolbook"/>
          <w:b/>
        </w:rPr>
      </w:pPr>
    </w:p>
    <w:p w:rsidR="00610156" w:rsidRDefault="00610156" w:rsidP="00610156">
      <w:pPr>
        <w:jc w:val="both"/>
        <w:rPr>
          <w:rFonts w:ascii="Century Schoolbook" w:hAnsi="Century Schoolbook"/>
          <w:b/>
        </w:rPr>
      </w:pPr>
    </w:p>
    <w:p w:rsidR="00610156" w:rsidRDefault="00610156" w:rsidP="00610156">
      <w:pPr>
        <w:jc w:val="both"/>
        <w:rPr>
          <w:rFonts w:ascii="Century Schoolbook" w:hAnsi="Century Schoolbook"/>
          <w:b/>
        </w:rPr>
      </w:pPr>
    </w:p>
    <w:p w:rsidR="00610156" w:rsidRDefault="00610156" w:rsidP="00610156">
      <w:pPr>
        <w:jc w:val="both"/>
        <w:rPr>
          <w:rFonts w:ascii="Century Schoolbook" w:hAnsi="Century Schoolbook"/>
          <w:b/>
        </w:rPr>
      </w:pPr>
    </w:p>
    <w:p w:rsidR="00610156" w:rsidRDefault="00610156" w:rsidP="00610156">
      <w:pPr>
        <w:jc w:val="both"/>
        <w:rPr>
          <w:rFonts w:ascii="Century Schoolbook" w:hAnsi="Century Schoolbook"/>
          <w:b/>
        </w:rPr>
      </w:pPr>
    </w:p>
    <w:p w:rsidR="00610156" w:rsidRDefault="00610156" w:rsidP="00610156">
      <w:pPr>
        <w:jc w:val="both"/>
        <w:rPr>
          <w:rFonts w:ascii="Century Schoolbook" w:hAnsi="Century Schoolbook"/>
          <w:b/>
        </w:rPr>
      </w:pPr>
    </w:p>
    <w:p w:rsidR="00610156" w:rsidRDefault="00610156" w:rsidP="00610156">
      <w:pPr>
        <w:jc w:val="both"/>
        <w:rPr>
          <w:rFonts w:ascii="Century Schoolbook" w:hAnsi="Century Schoolbook"/>
          <w:b/>
        </w:rPr>
      </w:pPr>
    </w:p>
    <w:p w:rsidR="00610156" w:rsidRDefault="00610156" w:rsidP="00610156">
      <w:pPr>
        <w:jc w:val="both"/>
        <w:rPr>
          <w:rFonts w:ascii="Century Schoolbook" w:hAnsi="Century Schoolbook"/>
          <w:b/>
        </w:rPr>
      </w:pPr>
    </w:p>
    <w:p w:rsidR="00610156" w:rsidRDefault="00610156" w:rsidP="00610156">
      <w:pPr>
        <w:jc w:val="both"/>
        <w:rPr>
          <w:rFonts w:ascii="Century Schoolbook" w:hAnsi="Century Schoolbook"/>
          <w:b/>
        </w:rPr>
      </w:pPr>
    </w:p>
    <w:p w:rsidR="00610156" w:rsidRDefault="00610156" w:rsidP="00610156">
      <w:pPr>
        <w:jc w:val="both"/>
        <w:rPr>
          <w:rFonts w:ascii="Century Schoolbook" w:hAnsi="Century Schoolbook"/>
          <w:b/>
        </w:rPr>
      </w:pPr>
    </w:p>
    <w:p w:rsidR="00610156" w:rsidRDefault="00610156" w:rsidP="00610156">
      <w:pPr>
        <w:jc w:val="both"/>
        <w:rPr>
          <w:rFonts w:ascii="Century Schoolbook" w:hAnsi="Century Schoolbook"/>
          <w:b/>
        </w:rPr>
      </w:pPr>
    </w:p>
    <w:p w:rsidR="00610156" w:rsidRDefault="00610156" w:rsidP="00610156">
      <w:pPr>
        <w:jc w:val="both"/>
        <w:rPr>
          <w:rFonts w:ascii="Century Schoolbook" w:hAnsi="Century Schoolbook"/>
          <w:b/>
        </w:rPr>
      </w:pPr>
    </w:p>
    <w:p w:rsidR="00610156" w:rsidRDefault="00610156" w:rsidP="00610156">
      <w:pPr>
        <w:jc w:val="both"/>
        <w:rPr>
          <w:rFonts w:ascii="Century Schoolbook" w:hAnsi="Century Schoolbook"/>
          <w:b/>
        </w:rPr>
      </w:pPr>
    </w:p>
    <w:p w:rsidR="00016696" w:rsidRDefault="00016696" w:rsidP="00610156">
      <w:pPr>
        <w:jc w:val="both"/>
        <w:rPr>
          <w:rFonts w:ascii="Century Schoolbook" w:hAnsi="Century Schoolbook"/>
          <w:b/>
        </w:rPr>
      </w:pPr>
    </w:p>
    <w:p w:rsidR="00016696" w:rsidRDefault="00016696" w:rsidP="00610156">
      <w:pPr>
        <w:jc w:val="both"/>
        <w:rPr>
          <w:rFonts w:ascii="Century Schoolbook" w:hAnsi="Century Schoolbook"/>
          <w:b/>
        </w:rPr>
      </w:pPr>
    </w:p>
    <w:p w:rsidR="00610156" w:rsidRDefault="00610156" w:rsidP="00610156">
      <w:pPr>
        <w:jc w:val="both"/>
        <w:rPr>
          <w:rFonts w:ascii="Century Schoolbook" w:hAnsi="Century Schoolbook"/>
          <w:b/>
        </w:rPr>
      </w:pPr>
    </w:p>
    <w:p w:rsidR="00610156" w:rsidRDefault="00610156" w:rsidP="00610156">
      <w:pPr>
        <w:jc w:val="both"/>
        <w:rPr>
          <w:rFonts w:ascii="Century Schoolbook" w:hAnsi="Century Schoolbook"/>
          <w:b/>
        </w:rPr>
      </w:pPr>
    </w:p>
    <w:p w:rsidR="00610156" w:rsidRPr="00573FA5" w:rsidRDefault="00CA3C6F" w:rsidP="00610156">
      <w:pPr>
        <w:spacing w:after="120"/>
        <w:jc w:val="center"/>
        <w:rPr>
          <w:rFonts w:ascii="Century Schoolbook" w:hAnsi="Century Schoolbook"/>
          <w:b/>
          <w:sz w:val="24"/>
          <w:szCs w:val="24"/>
        </w:rPr>
      </w:pPr>
      <w:r w:rsidRPr="00573FA5">
        <w:rPr>
          <w:rFonts w:ascii="Century Schoolbook" w:hAnsi="Century Schoolbook"/>
          <w:b/>
          <w:sz w:val="24"/>
          <w:szCs w:val="24"/>
        </w:rPr>
        <w:lastRenderedPageBreak/>
        <w:t>ACKNOWLEDGEMENTS</w:t>
      </w:r>
    </w:p>
    <w:p w:rsidR="00610156" w:rsidRPr="00573FA5" w:rsidRDefault="00CA3C6F" w:rsidP="00610156">
      <w:pPr>
        <w:spacing w:after="120"/>
        <w:ind w:firstLine="720"/>
        <w:rPr>
          <w:rFonts w:ascii="Century Schoolbook" w:hAnsi="Century Schoolbook"/>
          <w:b/>
          <w:sz w:val="24"/>
          <w:szCs w:val="24"/>
        </w:rPr>
      </w:pPr>
      <w:r w:rsidRPr="00573FA5">
        <w:rPr>
          <w:rFonts w:ascii="Century Schoolbook" w:hAnsi="Century Schoolbook"/>
          <w:sz w:val="24"/>
          <w:szCs w:val="24"/>
        </w:rPr>
        <w:t xml:space="preserve">The revision of the </w:t>
      </w:r>
      <w:r w:rsidRPr="00573FA5">
        <w:rPr>
          <w:rFonts w:ascii="Century Schoolbook" w:hAnsi="Century Schoolbook"/>
          <w:smallCaps/>
          <w:sz w:val="24"/>
          <w:szCs w:val="24"/>
        </w:rPr>
        <w:t>2014 MDL Standards and Best Practices</w:t>
      </w:r>
      <w:r w:rsidRPr="00573FA5">
        <w:rPr>
          <w:rFonts w:ascii="Century Schoolbook" w:hAnsi="Century Schoolbook"/>
          <w:sz w:val="24"/>
          <w:szCs w:val="24"/>
        </w:rPr>
        <w:t xml:space="preserve"> is the work product of more than thirty practitioners and seven federal judges.  Eight of the practitioners assumed greater drafting responsibility and served as team leaders, including:</w:t>
      </w:r>
    </w:p>
    <w:p w:rsidR="00610156" w:rsidRPr="00573FA5" w:rsidRDefault="00CA3C6F" w:rsidP="00610156">
      <w:pPr>
        <w:spacing w:after="120"/>
        <w:jc w:val="center"/>
        <w:rPr>
          <w:rFonts w:ascii="Century Schoolbook" w:hAnsi="Century Schoolbook"/>
          <w:b/>
          <w:smallCaps/>
          <w:sz w:val="28"/>
          <w:szCs w:val="28"/>
        </w:rPr>
      </w:pPr>
      <w:r w:rsidRPr="00573FA5">
        <w:rPr>
          <w:rFonts w:ascii="Century Schoolbook" w:hAnsi="Century Schoolbook"/>
          <w:b/>
          <w:smallCaps/>
          <w:sz w:val="28"/>
          <w:szCs w:val="28"/>
        </w:rPr>
        <w:t>Team Leaders</w:t>
      </w:r>
    </w:p>
    <w:tbl>
      <w:tblPr>
        <w:tblStyle w:val="TableGrid"/>
        <w:tblW w:w="1017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1805"/>
        <w:gridCol w:w="1615"/>
        <w:gridCol w:w="1440"/>
        <w:gridCol w:w="1890"/>
        <w:gridCol w:w="1535"/>
      </w:tblGrid>
      <w:tr w:rsidR="0073533D" w:rsidTr="00610156">
        <w:tc>
          <w:tcPr>
            <w:tcW w:w="3690" w:type="dxa"/>
            <w:gridSpan w:val="2"/>
          </w:tcPr>
          <w:p w:rsidR="00610156" w:rsidRPr="00573FA5" w:rsidRDefault="00CA3C6F" w:rsidP="00610156">
            <w:pPr>
              <w:jc w:val="center"/>
              <w:rPr>
                <w:rFonts w:ascii="Century Schoolbook" w:hAnsi="Century Schoolbook" w:cstheme="minorHAnsi"/>
                <w:sz w:val="24"/>
                <w:szCs w:val="24"/>
              </w:rPr>
            </w:pPr>
            <w:r w:rsidRPr="00573FA5">
              <w:rPr>
                <w:rFonts w:ascii="Century Schoolbook" w:hAnsi="Century Schoolbook" w:cstheme="minorHAnsi"/>
                <w:sz w:val="24"/>
                <w:szCs w:val="24"/>
              </w:rPr>
              <w:t>James Bilsborrow</w:t>
            </w:r>
          </w:p>
          <w:p w:rsidR="00610156" w:rsidRPr="00573FA5" w:rsidRDefault="00CA3C6F" w:rsidP="00610156">
            <w:pPr>
              <w:jc w:val="center"/>
              <w:rPr>
                <w:rFonts w:ascii="Century Schoolbook" w:hAnsi="Century Schoolbook" w:cstheme="minorHAnsi"/>
                <w:sz w:val="24"/>
                <w:szCs w:val="24"/>
              </w:rPr>
            </w:pPr>
            <w:r w:rsidRPr="00573FA5">
              <w:rPr>
                <w:rFonts w:ascii="Century Schoolbook" w:hAnsi="Century Schoolbook" w:cstheme="minorHAnsi"/>
                <w:sz w:val="24"/>
                <w:szCs w:val="24"/>
              </w:rPr>
              <w:t>Weitz &amp; Luxenberg</w:t>
            </w:r>
          </w:p>
        </w:tc>
        <w:tc>
          <w:tcPr>
            <w:tcW w:w="3055" w:type="dxa"/>
            <w:gridSpan w:val="2"/>
          </w:tcPr>
          <w:p w:rsidR="00610156" w:rsidRPr="00573FA5" w:rsidRDefault="00CA3C6F" w:rsidP="00610156">
            <w:pPr>
              <w:jc w:val="center"/>
              <w:rPr>
                <w:rFonts w:ascii="Century Schoolbook" w:hAnsi="Century Schoolbook" w:cstheme="minorHAnsi"/>
                <w:sz w:val="24"/>
                <w:szCs w:val="24"/>
              </w:rPr>
            </w:pPr>
            <w:r w:rsidRPr="00573FA5">
              <w:rPr>
                <w:rFonts w:ascii="Century Schoolbook" w:hAnsi="Century Schoolbook" w:cstheme="minorHAnsi"/>
                <w:sz w:val="24"/>
                <w:szCs w:val="24"/>
              </w:rPr>
              <w:t>Mark Chalos</w:t>
            </w:r>
          </w:p>
          <w:p w:rsidR="00610156" w:rsidRDefault="00CA3C6F" w:rsidP="00610156">
            <w:pPr>
              <w:jc w:val="center"/>
              <w:rPr>
                <w:rFonts w:ascii="Century Schoolbook" w:hAnsi="Century Schoolbook" w:cstheme="minorHAnsi"/>
                <w:sz w:val="24"/>
                <w:szCs w:val="24"/>
              </w:rPr>
            </w:pPr>
            <w:r w:rsidRPr="00573FA5">
              <w:rPr>
                <w:rFonts w:ascii="Century Schoolbook" w:hAnsi="Century Schoolbook" w:cstheme="minorHAnsi"/>
                <w:sz w:val="24"/>
                <w:szCs w:val="24"/>
              </w:rPr>
              <w:t xml:space="preserve">Lieff Cabraser </w:t>
            </w:r>
          </w:p>
          <w:p w:rsidR="00610156" w:rsidRPr="00573FA5" w:rsidRDefault="00CA3C6F" w:rsidP="00610156">
            <w:pPr>
              <w:spacing w:after="120"/>
              <w:jc w:val="center"/>
              <w:rPr>
                <w:rFonts w:ascii="Century Schoolbook" w:hAnsi="Century Schoolbook" w:cstheme="minorHAnsi"/>
                <w:sz w:val="24"/>
                <w:szCs w:val="24"/>
              </w:rPr>
            </w:pPr>
            <w:r w:rsidRPr="00573FA5">
              <w:rPr>
                <w:rFonts w:ascii="Century Schoolbook" w:hAnsi="Century Schoolbook" w:cstheme="minorHAnsi"/>
                <w:sz w:val="24"/>
                <w:szCs w:val="24"/>
              </w:rPr>
              <w:t>Heimann &amp; Bernstein</w:t>
            </w:r>
          </w:p>
        </w:tc>
        <w:tc>
          <w:tcPr>
            <w:tcW w:w="3425" w:type="dxa"/>
            <w:gridSpan w:val="2"/>
          </w:tcPr>
          <w:p w:rsidR="00610156" w:rsidRPr="00573FA5" w:rsidRDefault="00CA3C6F" w:rsidP="00610156">
            <w:pPr>
              <w:jc w:val="center"/>
              <w:rPr>
                <w:rFonts w:ascii="Century Schoolbook" w:hAnsi="Century Schoolbook" w:cstheme="minorHAnsi"/>
                <w:sz w:val="24"/>
                <w:szCs w:val="24"/>
              </w:rPr>
            </w:pPr>
            <w:r w:rsidRPr="00573FA5">
              <w:rPr>
                <w:rFonts w:ascii="Century Schoolbook" w:hAnsi="Century Schoolbook" w:cstheme="minorHAnsi"/>
                <w:sz w:val="24"/>
                <w:szCs w:val="24"/>
              </w:rPr>
              <w:t>Brenda Fulmer</w:t>
            </w:r>
          </w:p>
          <w:p w:rsidR="00610156" w:rsidRPr="00573FA5" w:rsidRDefault="00CA3C6F" w:rsidP="00DC0D9B">
            <w:pPr>
              <w:spacing w:after="120"/>
              <w:jc w:val="center"/>
              <w:rPr>
                <w:rFonts w:ascii="Century Schoolbook" w:hAnsi="Century Schoolbook" w:cstheme="minorHAnsi"/>
                <w:sz w:val="24"/>
                <w:szCs w:val="24"/>
              </w:rPr>
            </w:pPr>
            <w:r w:rsidRPr="00573FA5">
              <w:rPr>
                <w:rFonts w:ascii="Century Schoolbook" w:hAnsi="Century Schoolbook" w:cstheme="minorHAnsi"/>
                <w:color w:val="3B3B3B"/>
                <w:sz w:val="24"/>
                <w:szCs w:val="24"/>
              </w:rPr>
              <w:t>Searcy Denney Scarola Barnhart &amp; Shipley</w:t>
            </w:r>
          </w:p>
        </w:tc>
      </w:tr>
      <w:tr w:rsidR="0073533D" w:rsidTr="00610156">
        <w:tc>
          <w:tcPr>
            <w:tcW w:w="3690" w:type="dxa"/>
            <w:gridSpan w:val="2"/>
          </w:tcPr>
          <w:p w:rsidR="00610156" w:rsidRPr="00573FA5" w:rsidRDefault="00CA3C6F" w:rsidP="00610156">
            <w:pPr>
              <w:jc w:val="center"/>
              <w:rPr>
                <w:rFonts w:ascii="Century Schoolbook" w:hAnsi="Century Schoolbook" w:cstheme="minorHAnsi"/>
                <w:sz w:val="24"/>
                <w:szCs w:val="24"/>
              </w:rPr>
            </w:pPr>
            <w:r w:rsidRPr="00573FA5">
              <w:rPr>
                <w:rFonts w:ascii="Century Schoolbook" w:hAnsi="Century Schoolbook" w:cstheme="minorHAnsi"/>
                <w:sz w:val="24"/>
                <w:szCs w:val="24"/>
              </w:rPr>
              <w:t>Michelle Mangrum</w:t>
            </w:r>
          </w:p>
          <w:p w:rsidR="00610156" w:rsidRPr="00573FA5" w:rsidRDefault="00CA3C6F" w:rsidP="00DC0D9B">
            <w:pPr>
              <w:spacing w:after="120"/>
              <w:jc w:val="center"/>
              <w:rPr>
                <w:rFonts w:ascii="Century Schoolbook" w:hAnsi="Century Schoolbook" w:cstheme="minorHAnsi"/>
                <w:sz w:val="24"/>
                <w:szCs w:val="24"/>
              </w:rPr>
            </w:pPr>
            <w:r w:rsidRPr="00573FA5">
              <w:rPr>
                <w:rFonts w:ascii="Century Schoolbook" w:hAnsi="Century Schoolbook" w:cstheme="minorHAnsi"/>
                <w:sz w:val="24"/>
                <w:szCs w:val="24"/>
              </w:rPr>
              <w:t>Shook Hardy &amp; Bacon</w:t>
            </w:r>
          </w:p>
        </w:tc>
        <w:tc>
          <w:tcPr>
            <w:tcW w:w="3055" w:type="dxa"/>
            <w:gridSpan w:val="2"/>
          </w:tcPr>
          <w:p w:rsidR="00610156" w:rsidRDefault="00CA3C6F" w:rsidP="00610156">
            <w:pPr>
              <w:jc w:val="center"/>
              <w:rPr>
                <w:rFonts w:ascii="Century Schoolbook" w:hAnsi="Century Schoolbook" w:cstheme="minorHAnsi"/>
                <w:sz w:val="24"/>
                <w:szCs w:val="24"/>
              </w:rPr>
            </w:pPr>
            <w:r w:rsidRPr="00573FA5">
              <w:rPr>
                <w:rFonts w:ascii="Century Schoolbook" w:hAnsi="Century Schoolbook" w:cstheme="minorHAnsi"/>
                <w:sz w:val="24"/>
                <w:szCs w:val="24"/>
              </w:rPr>
              <w:t>Steven Marshall</w:t>
            </w:r>
          </w:p>
          <w:p w:rsidR="00610156" w:rsidRPr="00573FA5" w:rsidRDefault="00CA3C6F" w:rsidP="00610156">
            <w:pPr>
              <w:jc w:val="center"/>
              <w:rPr>
                <w:rFonts w:ascii="Century Schoolbook" w:hAnsi="Century Schoolbook" w:cstheme="minorHAnsi"/>
                <w:sz w:val="24"/>
                <w:szCs w:val="24"/>
              </w:rPr>
            </w:pPr>
            <w:r>
              <w:rPr>
                <w:rFonts w:ascii="Century Schoolbook" w:hAnsi="Century Schoolbook" w:cstheme="minorHAnsi"/>
                <w:sz w:val="24"/>
                <w:szCs w:val="24"/>
              </w:rPr>
              <w:t>Venable</w:t>
            </w:r>
          </w:p>
        </w:tc>
        <w:tc>
          <w:tcPr>
            <w:tcW w:w="3425" w:type="dxa"/>
            <w:gridSpan w:val="2"/>
          </w:tcPr>
          <w:p w:rsidR="00610156" w:rsidRPr="00573FA5" w:rsidRDefault="00CA3C6F" w:rsidP="00610156">
            <w:pPr>
              <w:jc w:val="center"/>
              <w:rPr>
                <w:rFonts w:ascii="Century Schoolbook" w:hAnsi="Century Schoolbook" w:cstheme="minorHAnsi"/>
                <w:sz w:val="24"/>
                <w:szCs w:val="24"/>
              </w:rPr>
            </w:pPr>
            <w:r w:rsidRPr="00573FA5">
              <w:rPr>
                <w:rFonts w:ascii="Century Schoolbook" w:hAnsi="Century Schoolbook" w:cstheme="minorHAnsi"/>
                <w:sz w:val="24"/>
                <w:szCs w:val="24"/>
              </w:rPr>
              <w:t>Ellen Relkin</w:t>
            </w:r>
          </w:p>
          <w:p w:rsidR="00610156" w:rsidRPr="00573FA5" w:rsidRDefault="00CA3C6F" w:rsidP="00610156">
            <w:pPr>
              <w:jc w:val="center"/>
              <w:rPr>
                <w:rFonts w:ascii="Century Schoolbook" w:hAnsi="Century Schoolbook" w:cstheme="minorHAnsi"/>
                <w:sz w:val="24"/>
                <w:szCs w:val="24"/>
              </w:rPr>
            </w:pPr>
            <w:r w:rsidRPr="00573FA5">
              <w:rPr>
                <w:rFonts w:ascii="Century Schoolbook" w:hAnsi="Century Schoolbook" w:cstheme="minorHAnsi"/>
                <w:sz w:val="24"/>
                <w:szCs w:val="24"/>
              </w:rPr>
              <w:t>Weitz &amp; Luxenberg</w:t>
            </w:r>
          </w:p>
        </w:tc>
      </w:tr>
      <w:tr w:rsidR="0073533D" w:rsidTr="00610156">
        <w:trPr>
          <w:gridBefore w:val="1"/>
          <w:gridAfter w:val="1"/>
          <w:wBefore w:w="1885" w:type="dxa"/>
          <w:wAfter w:w="1535" w:type="dxa"/>
        </w:trPr>
        <w:tc>
          <w:tcPr>
            <w:tcW w:w="3420" w:type="dxa"/>
            <w:gridSpan w:val="2"/>
          </w:tcPr>
          <w:p w:rsidR="00610156" w:rsidRPr="00573FA5" w:rsidRDefault="00CA3C6F" w:rsidP="00610156">
            <w:pPr>
              <w:jc w:val="center"/>
              <w:rPr>
                <w:rFonts w:ascii="Century Schoolbook" w:hAnsi="Century Schoolbook" w:cstheme="minorHAnsi"/>
                <w:sz w:val="24"/>
                <w:szCs w:val="24"/>
              </w:rPr>
            </w:pPr>
            <w:r w:rsidRPr="00573FA5">
              <w:rPr>
                <w:rFonts w:ascii="Century Schoolbook" w:hAnsi="Century Schoolbook" w:cstheme="minorHAnsi"/>
                <w:sz w:val="24"/>
                <w:szCs w:val="24"/>
              </w:rPr>
              <w:t>Kaspar Stoffelmayr</w:t>
            </w:r>
          </w:p>
          <w:p w:rsidR="00610156" w:rsidRPr="00573FA5" w:rsidRDefault="00CA3C6F" w:rsidP="00610156">
            <w:pPr>
              <w:jc w:val="center"/>
              <w:rPr>
                <w:rFonts w:ascii="Century Schoolbook" w:hAnsi="Century Schoolbook" w:cstheme="minorHAnsi"/>
                <w:sz w:val="24"/>
                <w:szCs w:val="24"/>
              </w:rPr>
            </w:pPr>
            <w:r w:rsidRPr="00573FA5">
              <w:rPr>
                <w:rFonts w:ascii="Century Schoolbook" w:hAnsi="Century Schoolbook" w:cstheme="minorHAnsi"/>
                <w:color w:val="333333"/>
                <w:sz w:val="24"/>
                <w:szCs w:val="24"/>
                <w:shd w:val="clear" w:color="auto" w:fill="FFFFFF"/>
              </w:rPr>
              <w:t>Bartlit Beck</w:t>
            </w:r>
            <w:r w:rsidR="00142AFD">
              <w:rPr>
                <w:rFonts w:ascii="Century Schoolbook" w:hAnsi="Century Schoolbook" w:cstheme="minorHAnsi"/>
                <w:color w:val="333333"/>
                <w:sz w:val="24"/>
                <w:szCs w:val="24"/>
                <w:shd w:val="clear" w:color="auto" w:fill="FFFFFF"/>
              </w:rPr>
              <w:t xml:space="preserve"> Herman Palenchar &amp; Scott</w:t>
            </w:r>
          </w:p>
        </w:tc>
        <w:tc>
          <w:tcPr>
            <w:tcW w:w="3330" w:type="dxa"/>
            <w:gridSpan w:val="2"/>
          </w:tcPr>
          <w:p w:rsidR="00610156" w:rsidRPr="00573FA5" w:rsidRDefault="00CA3C6F" w:rsidP="00610156">
            <w:pPr>
              <w:jc w:val="center"/>
              <w:rPr>
                <w:rFonts w:ascii="Century Schoolbook" w:hAnsi="Century Schoolbook" w:cstheme="minorHAnsi"/>
                <w:sz w:val="24"/>
                <w:szCs w:val="24"/>
              </w:rPr>
            </w:pPr>
            <w:r w:rsidRPr="00573FA5">
              <w:rPr>
                <w:rFonts w:ascii="Century Schoolbook" w:hAnsi="Century Schoolbook" w:cstheme="minorHAnsi"/>
                <w:sz w:val="24"/>
                <w:szCs w:val="24"/>
              </w:rPr>
              <w:t>Sean Wajert</w:t>
            </w:r>
          </w:p>
          <w:p w:rsidR="00610156" w:rsidRPr="00573FA5" w:rsidRDefault="00CA3C6F" w:rsidP="00610156">
            <w:pPr>
              <w:spacing w:after="240"/>
              <w:jc w:val="center"/>
              <w:rPr>
                <w:rFonts w:ascii="Century Schoolbook" w:hAnsi="Century Schoolbook" w:cstheme="minorHAnsi"/>
                <w:sz w:val="24"/>
                <w:szCs w:val="24"/>
              </w:rPr>
            </w:pPr>
            <w:r w:rsidRPr="00573FA5">
              <w:rPr>
                <w:rFonts w:ascii="Century Schoolbook" w:hAnsi="Century Schoolbook" w:cstheme="minorHAnsi"/>
                <w:sz w:val="24"/>
                <w:szCs w:val="24"/>
              </w:rPr>
              <w:t>Shook Hardy &amp; Bacon</w:t>
            </w:r>
          </w:p>
        </w:tc>
      </w:tr>
    </w:tbl>
    <w:p w:rsidR="00610156" w:rsidRPr="00573FA5" w:rsidRDefault="00610156" w:rsidP="00610156">
      <w:pPr>
        <w:jc w:val="center"/>
        <w:rPr>
          <w:rFonts w:ascii="Century Schoolbook" w:hAnsi="Century Schoolbook"/>
          <w:sz w:val="24"/>
          <w:szCs w:val="24"/>
        </w:rPr>
      </w:pPr>
    </w:p>
    <w:p w:rsidR="00610156" w:rsidRPr="00573FA5" w:rsidRDefault="00CA3C6F" w:rsidP="00610156">
      <w:pPr>
        <w:ind w:firstLine="720"/>
        <w:rPr>
          <w:rFonts w:ascii="Century Schoolbook" w:hAnsi="Century Schoolbook"/>
          <w:b/>
          <w:sz w:val="24"/>
          <w:szCs w:val="24"/>
        </w:rPr>
      </w:pPr>
      <w:r w:rsidRPr="00573FA5">
        <w:rPr>
          <w:rFonts w:ascii="Century Schoolbook" w:hAnsi="Century Schoolbook"/>
          <w:sz w:val="24"/>
          <w:szCs w:val="24"/>
        </w:rPr>
        <w:t xml:space="preserve">The following practitioners helped draft particular sections of the text:  </w:t>
      </w:r>
    </w:p>
    <w:p w:rsidR="00610156" w:rsidRPr="00573FA5" w:rsidRDefault="00610156" w:rsidP="00610156">
      <w:pPr>
        <w:jc w:val="center"/>
        <w:rPr>
          <w:rFonts w:ascii="Century Schoolbook" w:hAnsi="Century Schoolbook"/>
          <w:b/>
          <w:sz w:val="24"/>
          <w:szCs w:val="24"/>
        </w:rPr>
      </w:pPr>
    </w:p>
    <w:p w:rsidR="00610156" w:rsidRPr="00573FA5" w:rsidRDefault="00CA3C6F" w:rsidP="00610156">
      <w:pPr>
        <w:spacing w:after="120"/>
        <w:jc w:val="center"/>
        <w:rPr>
          <w:rFonts w:ascii="Century Schoolbook" w:hAnsi="Century Schoolbook"/>
          <w:b/>
          <w:smallCaps/>
          <w:sz w:val="28"/>
          <w:szCs w:val="28"/>
        </w:rPr>
      </w:pPr>
      <w:r w:rsidRPr="00573FA5">
        <w:rPr>
          <w:rFonts w:ascii="Century Schoolbook" w:hAnsi="Century Schoolbook"/>
          <w:b/>
          <w:smallCaps/>
          <w:sz w:val="28"/>
          <w:szCs w:val="28"/>
        </w:rPr>
        <w:t>Contributors</w:t>
      </w:r>
    </w:p>
    <w:tbl>
      <w:tblPr>
        <w:tblStyle w:val="TableGrid"/>
        <w:tblW w:w="1017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420"/>
        <w:gridCol w:w="3150"/>
      </w:tblGrid>
      <w:tr w:rsidR="007F0D90" w:rsidRPr="008D69F1" w:rsidTr="00DC0D9B">
        <w:trPr>
          <w:trHeight w:val="611"/>
        </w:trPr>
        <w:tc>
          <w:tcPr>
            <w:tcW w:w="3600" w:type="dxa"/>
          </w:tcPr>
          <w:p w:rsidR="007F0D90" w:rsidRDefault="007F0D90" w:rsidP="00DC0D9B">
            <w:pPr>
              <w:ind w:hanging="18"/>
              <w:jc w:val="center"/>
              <w:rPr>
                <w:rFonts w:ascii="Century Schoolbook" w:hAnsi="Century Schoolbook"/>
                <w:sz w:val="24"/>
                <w:szCs w:val="24"/>
              </w:rPr>
            </w:pPr>
            <w:r w:rsidRPr="008D69F1">
              <w:rPr>
                <w:rFonts w:ascii="Century Schoolbook" w:hAnsi="Century Schoolbook"/>
                <w:sz w:val="24"/>
                <w:szCs w:val="24"/>
              </w:rPr>
              <w:t>James Beck</w:t>
            </w:r>
          </w:p>
          <w:p w:rsidR="007F0D90" w:rsidRPr="008D69F1" w:rsidRDefault="007F0D90" w:rsidP="00DC0D9B">
            <w:pPr>
              <w:spacing w:after="120"/>
              <w:ind w:hanging="18"/>
              <w:jc w:val="center"/>
              <w:rPr>
                <w:rFonts w:ascii="Century Schoolbook" w:hAnsi="Century Schoolbook"/>
                <w:sz w:val="24"/>
                <w:szCs w:val="24"/>
              </w:rPr>
            </w:pPr>
            <w:r>
              <w:rPr>
                <w:rFonts w:ascii="Century Schoolbook" w:hAnsi="Century Schoolbook"/>
                <w:sz w:val="24"/>
                <w:szCs w:val="24"/>
              </w:rPr>
              <w:t>Reed Smith</w:t>
            </w:r>
          </w:p>
        </w:tc>
        <w:tc>
          <w:tcPr>
            <w:tcW w:w="3420" w:type="dxa"/>
          </w:tcPr>
          <w:p w:rsidR="007F0D90" w:rsidRDefault="007F0D90" w:rsidP="00DC0D9B">
            <w:pPr>
              <w:jc w:val="center"/>
              <w:rPr>
                <w:rFonts w:ascii="Century Schoolbook" w:hAnsi="Century Schoolbook"/>
                <w:sz w:val="24"/>
                <w:szCs w:val="24"/>
              </w:rPr>
            </w:pPr>
            <w:r w:rsidRPr="008D69F1">
              <w:rPr>
                <w:rFonts w:ascii="Century Schoolbook" w:hAnsi="Century Schoolbook"/>
                <w:sz w:val="24"/>
                <w:szCs w:val="24"/>
              </w:rPr>
              <w:t>Paul Boehm</w:t>
            </w:r>
          </w:p>
          <w:p w:rsidR="007F0D90" w:rsidRPr="008D69F1" w:rsidRDefault="007F0D90" w:rsidP="00DC0D9B">
            <w:pPr>
              <w:jc w:val="center"/>
              <w:rPr>
                <w:rFonts w:ascii="Century Schoolbook" w:hAnsi="Century Schoolbook"/>
                <w:sz w:val="24"/>
                <w:szCs w:val="24"/>
              </w:rPr>
            </w:pPr>
            <w:r>
              <w:rPr>
                <w:rFonts w:ascii="Century Schoolbook" w:hAnsi="Century Schoolbook"/>
                <w:sz w:val="24"/>
                <w:szCs w:val="24"/>
              </w:rPr>
              <w:t>Williams &amp; Connolly</w:t>
            </w:r>
          </w:p>
        </w:tc>
        <w:tc>
          <w:tcPr>
            <w:tcW w:w="3150" w:type="dxa"/>
          </w:tcPr>
          <w:p w:rsidR="007F0D90" w:rsidRDefault="007F0D90" w:rsidP="00DC0D9B">
            <w:pPr>
              <w:jc w:val="center"/>
              <w:rPr>
                <w:rFonts w:ascii="Century Schoolbook" w:hAnsi="Century Schoolbook"/>
                <w:sz w:val="24"/>
                <w:szCs w:val="24"/>
              </w:rPr>
            </w:pPr>
            <w:r w:rsidRPr="008D69F1">
              <w:rPr>
                <w:rFonts w:ascii="Century Schoolbook" w:hAnsi="Century Schoolbook"/>
                <w:sz w:val="24"/>
                <w:szCs w:val="24"/>
              </w:rPr>
              <w:t>Maya Eaton</w:t>
            </w:r>
          </w:p>
          <w:p w:rsidR="007F0D90" w:rsidRPr="008D69F1" w:rsidRDefault="007F0D90" w:rsidP="00DC0D9B">
            <w:pPr>
              <w:spacing w:after="120"/>
              <w:jc w:val="center"/>
              <w:rPr>
                <w:rFonts w:ascii="Century Schoolbook" w:hAnsi="Century Schoolbook"/>
                <w:sz w:val="24"/>
                <w:szCs w:val="24"/>
              </w:rPr>
            </w:pPr>
            <w:r>
              <w:rPr>
                <w:rFonts w:ascii="Century Schoolbook" w:hAnsi="Century Schoolbook"/>
                <w:sz w:val="24"/>
                <w:szCs w:val="24"/>
              </w:rPr>
              <w:t>Sidley Austin</w:t>
            </w:r>
          </w:p>
        </w:tc>
      </w:tr>
      <w:tr w:rsidR="007F0D90" w:rsidRPr="008D69F1" w:rsidTr="00DC0D9B">
        <w:trPr>
          <w:trHeight w:val="611"/>
        </w:trPr>
        <w:tc>
          <w:tcPr>
            <w:tcW w:w="3600" w:type="dxa"/>
          </w:tcPr>
          <w:p w:rsidR="007F0D90" w:rsidRPr="008D69F1" w:rsidRDefault="007F0D90" w:rsidP="00DC0D9B">
            <w:pPr>
              <w:ind w:hanging="18"/>
              <w:jc w:val="center"/>
              <w:rPr>
                <w:rFonts w:ascii="Century Schoolbook" w:hAnsi="Century Schoolbook"/>
                <w:sz w:val="24"/>
                <w:szCs w:val="24"/>
              </w:rPr>
            </w:pPr>
            <w:r w:rsidRPr="008D69F1">
              <w:rPr>
                <w:rFonts w:ascii="Century Schoolbook" w:hAnsi="Century Schoolbook"/>
                <w:sz w:val="24"/>
                <w:szCs w:val="24"/>
              </w:rPr>
              <w:t>Gretchen Eoff</w:t>
            </w:r>
          </w:p>
          <w:p w:rsidR="007F0D90" w:rsidRPr="008D69F1" w:rsidRDefault="007F0D90" w:rsidP="00DC0D9B">
            <w:pPr>
              <w:spacing w:after="120"/>
              <w:ind w:hanging="18"/>
              <w:jc w:val="center"/>
              <w:rPr>
                <w:rFonts w:ascii="Century Schoolbook" w:hAnsi="Century Schoolbook"/>
                <w:sz w:val="24"/>
                <w:szCs w:val="24"/>
              </w:rPr>
            </w:pPr>
            <w:r>
              <w:rPr>
                <w:rFonts w:ascii="Century Schoolbook" w:hAnsi="Century Schoolbook"/>
                <w:sz w:val="24"/>
                <w:szCs w:val="24"/>
              </w:rPr>
              <w:t>Garden City Group</w:t>
            </w:r>
          </w:p>
        </w:tc>
        <w:tc>
          <w:tcPr>
            <w:tcW w:w="3420" w:type="dxa"/>
          </w:tcPr>
          <w:p w:rsidR="007F0D90" w:rsidRDefault="007F0D90" w:rsidP="00DC0D9B">
            <w:pPr>
              <w:ind w:hanging="18"/>
              <w:jc w:val="center"/>
              <w:rPr>
                <w:rFonts w:ascii="Century Schoolbook" w:hAnsi="Century Schoolbook"/>
                <w:sz w:val="24"/>
                <w:szCs w:val="24"/>
              </w:rPr>
            </w:pPr>
            <w:r>
              <w:rPr>
                <w:rFonts w:ascii="Century Schoolbook" w:hAnsi="Century Schoolbook"/>
                <w:sz w:val="24"/>
                <w:szCs w:val="24"/>
              </w:rPr>
              <w:t>Yvonne Flaherty</w:t>
            </w:r>
          </w:p>
          <w:p w:rsidR="007F0D90" w:rsidRPr="008D69F1" w:rsidRDefault="007F0D90" w:rsidP="00DC0D9B">
            <w:pPr>
              <w:spacing w:after="120"/>
              <w:ind w:hanging="18"/>
              <w:jc w:val="center"/>
              <w:rPr>
                <w:rFonts w:ascii="Century Schoolbook" w:hAnsi="Century Schoolbook"/>
                <w:sz w:val="24"/>
                <w:szCs w:val="24"/>
              </w:rPr>
            </w:pPr>
            <w:r>
              <w:rPr>
                <w:rFonts w:ascii="Century Schoolbook" w:hAnsi="Century Schoolbook"/>
                <w:sz w:val="24"/>
                <w:szCs w:val="24"/>
              </w:rPr>
              <w:t>Lockridge Grindal Nauen</w:t>
            </w:r>
          </w:p>
        </w:tc>
        <w:tc>
          <w:tcPr>
            <w:tcW w:w="3150" w:type="dxa"/>
          </w:tcPr>
          <w:p w:rsidR="007F0D90" w:rsidRPr="008D69F1" w:rsidRDefault="007F0D90" w:rsidP="00DC0D9B">
            <w:pPr>
              <w:jc w:val="center"/>
              <w:rPr>
                <w:rFonts w:ascii="Century Schoolbook" w:hAnsi="Century Schoolbook"/>
                <w:sz w:val="24"/>
                <w:szCs w:val="24"/>
              </w:rPr>
            </w:pPr>
            <w:r w:rsidRPr="008D69F1">
              <w:rPr>
                <w:rFonts w:ascii="Century Schoolbook" w:hAnsi="Century Schoolbook"/>
                <w:sz w:val="24"/>
                <w:szCs w:val="24"/>
              </w:rPr>
              <w:t>Amy Gernon</w:t>
            </w:r>
          </w:p>
          <w:p w:rsidR="007F0D90" w:rsidRPr="008D69F1" w:rsidRDefault="007F0D90" w:rsidP="00DC0D9B">
            <w:pPr>
              <w:jc w:val="center"/>
              <w:rPr>
                <w:rFonts w:ascii="Century Schoolbook" w:hAnsi="Century Schoolbook"/>
                <w:sz w:val="24"/>
                <w:szCs w:val="24"/>
              </w:rPr>
            </w:pPr>
          </w:p>
        </w:tc>
      </w:tr>
      <w:tr w:rsidR="007F0D90" w:rsidRPr="008D69F1" w:rsidTr="00DC0D9B">
        <w:trPr>
          <w:trHeight w:val="866"/>
        </w:trPr>
        <w:tc>
          <w:tcPr>
            <w:tcW w:w="3600" w:type="dxa"/>
          </w:tcPr>
          <w:p w:rsidR="007F0D90" w:rsidRDefault="007F0D90" w:rsidP="00DC0D9B">
            <w:pPr>
              <w:jc w:val="center"/>
              <w:rPr>
                <w:rFonts w:ascii="Century Schoolbook" w:hAnsi="Century Schoolbook"/>
                <w:sz w:val="24"/>
                <w:szCs w:val="24"/>
              </w:rPr>
            </w:pPr>
            <w:r w:rsidRPr="008D69F1">
              <w:rPr>
                <w:rFonts w:ascii="Century Schoolbook" w:hAnsi="Century Schoolbook"/>
                <w:sz w:val="24"/>
                <w:szCs w:val="24"/>
              </w:rPr>
              <w:t xml:space="preserve">Mara </w:t>
            </w:r>
            <w:r>
              <w:rPr>
                <w:rFonts w:ascii="Century Schoolbook" w:hAnsi="Century Schoolbook"/>
                <w:sz w:val="24"/>
                <w:szCs w:val="24"/>
              </w:rPr>
              <w:t xml:space="preserve">Cusker </w:t>
            </w:r>
            <w:r w:rsidRPr="008D69F1">
              <w:rPr>
                <w:rFonts w:ascii="Century Schoolbook" w:hAnsi="Century Schoolbook"/>
                <w:sz w:val="24"/>
                <w:szCs w:val="24"/>
              </w:rPr>
              <w:t>Gonzale</w:t>
            </w:r>
            <w:r w:rsidR="00DC0D9B">
              <w:rPr>
                <w:rFonts w:ascii="Century Schoolbook" w:hAnsi="Century Schoolbook"/>
                <w:sz w:val="24"/>
                <w:szCs w:val="24"/>
              </w:rPr>
              <w:t>z</w:t>
            </w:r>
          </w:p>
          <w:p w:rsidR="007F0D90" w:rsidRDefault="007F0D90" w:rsidP="00DC0D9B">
            <w:pPr>
              <w:jc w:val="center"/>
              <w:rPr>
                <w:rFonts w:ascii="Century Schoolbook" w:hAnsi="Century Schoolbook"/>
                <w:sz w:val="24"/>
                <w:szCs w:val="24"/>
              </w:rPr>
            </w:pPr>
            <w:r>
              <w:rPr>
                <w:rFonts w:ascii="Century Schoolbook" w:hAnsi="Century Schoolbook"/>
                <w:sz w:val="24"/>
                <w:szCs w:val="24"/>
              </w:rPr>
              <w:t xml:space="preserve">Quinn Emanuel </w:t>
            </w:r>
          </w:p>
          <w:p w:rsidR="007F0D90" w:rsidRPr="008D69F1" w:rsidRDefault="007F0D90" w:rsidP="00DC0D9B">
            <w:pPr>
              <w:spacing w:after="120"/>
              <w:jc w:val="center"/>
              <w:rPr>
                <w:rFonts w:ascii="Century Schoolbook" w:hAnsi="Century Schoolbook"/>
                <w:sz w:val="24"/>
                <w:szCs w:val="24"/>
              </w:rPr>
            </w:pPr>
            <w:r>
              <w:rPr>
                <w:rFonts w:ascii="Century Schoolbook" w:hAnsi="Century Schoolbook"/>
                <w:sz w:val="24"/>
                <w:szCs w:val="24"/>
              </w:rPr>
              <w:t>Urquhart &amp; Sullivan</w:t>
            </w:r>
          </w:p>
        </w:tc>
        <w:tc>
          <w:tcPr>
            <w:tcW w:w="3420" w:type="dxa"/>
          </w:tcPr>
          <w:p w:rsidR="007F0D90" w:rsidRDefault="007F0D90" w:rsidP="00DC0D9B">
            <w:pPr>
              <w:jc w:val="center"/>
              <w:rPr>
                <w:rFonts w:ascii="Century Schoolbook" w:hAnsi="Century Schoolbook"/>
                <w:sz w:val="24"/>
                <w:szCs w:val="24"/>
              </w:rPr>
            </w:pPr>
            <w:r w:rsidRPr="008D69F1">
              <w:rPr>
                <w:rFonts w:ascii="Century Schoolbook" w:hAnsi="Century Schoolbook"/>
                <w:sz w:val="24"/>
                <w:szCs w:val="24"/>
              </w:rPr>
              <w:t>Steve Herman</w:t>
            </w:r>
          </w:p>
          <w:p w:rsidR="007F0D90" w:rsidRPr="008D69F1" w:rsidRDefault="007F0D90" w:rsidP="00DC0D9B">
            <w:pPr>
              <w:jc w:val="center"/>
              <w:rPr>
                <w:rFonts w:ascii="Century Schoolbook" w:hAnsi="Century Schoolbook"/>
                <w:sz w:val="24"/>
                <w:szCs w:val="24"/>
              </w:rPr>
            </w:pPr>
            <w:r>
              <w:rPr>
                <w:rFonts w:ascii="Century Schoolbook" w:hAnsi="Century Schoolbook"/>
                <w:sz w:val="24"/>
                <w:szCs w:val="24"/>
              </w:rPr>
              <w:t>Herman Herman &amp; Katz</w:t>
            </w:r>
          </w:p>
        </w:tc>
        <w:tc>
          <w:tcPr>
            <w:tcW w:w="3150" w:type="dxa"/>
          </w:tcPr>
          <w:p w:rsidR="007F0D90" w:rsidRDefault="007F0D90" w:rsidP="00DC0D9B">
            <w:pPr>
              <w:ind w:hanging="18"/>
              <w:jc w:val="center"/>
              <w:rPr>
                <w:rFonts w:ascii="Century Schoolbook" w:hAnsi="Century Schoolbook"/>
                <w:sz w:val="24"/>
                <w:szCs w:val="24"/>
              </w:rPr>
            </w:pPr>
            <w:r w:rsidRPr="008D69F1">
              <w:rPr>
                <w:rFonts w:ascii="Century Schoolbook" w:hAnsi="Century Schoolbook"/>
                <w:sz w:val="24"/>
                <w:szCs w:val="24"/>
              </w:rPr>
              <w:t>Alyson Jones</w:t>
            </w:r>
          </w:p>
          <w:p w:rsidR="007F0D90" w:rsidRPr="008D69F1" w:rsidRDefault="007F0D90" w:rsidP="00DC0D9B">
            <w:pPr>
              <w:jc w:val="center"/>
              <w:rPr>
                <w:rFonts w:ascii="Century Schoolbook" w:hAnsi="Century Schoolbook"/>
                <w:sz w:val="24"/>
                <w:szCs w:val="24"/>
              </w:rPr>
            </w:pPr>
            <w:r>
              <w:rPr>
                <w:rFonts w:ascii="Century Schoolbook" w:hAnsi="Century Schoolbook"/>
                <w:sz w:val="24"/>
                <w:szCs w:val="24"/>
              </w:rPr>
              <w:t>Butler Snow</w:t>
            </w:r>
          </w:p>
        </w:tc>
      </w:tr>
      <w:tr w:rsidR="007F0D90" w:rsidRPr="008D69F1" w:rsidTr="00DC0D9B">
        <w:trPr>
          <w:trHeight w:val="656"/>
        </w:trPr>
        <w:tc>
          <w:tcPr>
            <w:tcW w:w="3600" w:type="dxa"/>
          </w:tcPr>
          <w:p w:rsidR="007F0D90" w:rsidRDefault="007F0D90" w:rsidP="00DC0D9B">
            <w:pPr>
              <w:ind w:firstLine="720"/>
              <w:rPr>
                <w:rFonts w:ascii="Century Schoolbook" w:hAnsi="Century Schoolbook"/>
                <w:sz w:val="24"/>
                <w:szCs w:val="24"/>
              </w:rPr>
            </w:pPr>
            <w:r w:rsidRPr="008D69F1">
              <w:rPr>
                <w:rFonts w:ascii="Century Schoolbook" w:hAnsi="Century Schoolbook"/>
                <w:sz w:val="24"/>
                <w:szCs w:val="24"/>
              </w:rPr>
              <w:t>Allan Kanner</w:t>
            </w:r>
          </w:p>
          <w:p w:rsidR="007F0D90" w:rsidRPr="008D69F1" w:rsidRDefault="007F0D90" w:rsidP="00DC0D9B">
            <w:pPr>
              <w:spacing w:after="240"/>
              <w:ind w:hanging="18"/>
              <w:jc w:val="center"/>
              <w:rPr>
                <w:rFonts w:ascii="Century Schoolbook" w:hAnsi="Century Schoolbook"/>
                <w:sz w:val="24"/>
                <w:szCs w:val="24"/>
              </w:rPr>
            </w:pPr>
            <w:r>
              <w:rPr>
                <w:rFonts w:ascii="Century Schoolbook" w:hAnsi="Century Schoolbook"/>
                <w:sz w:val="24"/>
                <w:szCs w:val="24"/>
              </w:rPr>
              <w:t>Kanner &amp; Whiteley</w:t>
            </w:r>
          </w:p>
        </w:tc>
        <w:tc>
          <w:tcPr>
            <w:tcW w:w="3420" w:type="dxa"/>
          </w:tcPr>
          <w:p w:rsidR="007F0D90" w:rsidRPr="008D69F1" w:rsidRDefault="007F0D90" w:rsidP="00DC0D9B">
            <w:pPr>
              <w:ind w:hanging="18"/>
              <w:jc w:val="center"/>
              <w:rPr>
                <w:rFonts w:ascii="Century Schoolbook" w:hAnsi="Century Schoolbook"/>
                <w:sz w:val="24"/>
                <w:szCs w:val="24"/>
              </w:rPr>
            </w:pPr>
            <w:r w:rsidRPr="008D69F1">
              <w:rPr>
                <w:rFonts w:ascii="Century Schoolbook" w:hAnsi="Century Schoolbook"/>
                <w:sz w:val="24"/>
                <w:szCs w:val="24"/>
              </w:rPr>
              <w:t>Altom Maglio</w:t>
            </w:r>
          </w:p>
          <w:p w:rsidR="007F0D90" w:rsidRDefault="007F0D90" w:rsidP="00DC0D9B">
            <w:pPr>
              <w:ind w:hanging="18"/>
              <w:jc w:val="center"/>
              <w:rPr>
                <w:rFonts w:ascii="Century Schoolbook" w:hAnsi="Century Schoolbook"/>
                <w:sz w:val="24"/>
                <w:szCs w:val="24"/>
              </w:rPr>
            </w:pPr>
            <w:r>
              <w:rPr>
                <w:rFonts w:ascii="Century Schoolbook" w:hAnsi="Century Schoolbook"/>
                <w:sz w:val="24"/>
                <w:szCs w:val="24"/>
              </w:rPr>
              <w:t xml:space="preserve">Maglio Christopher </w:t>
            </w:r>
          </w:p>
          <w:p w:rsidR="007F0D90" w:rsidRPr="008D69F1" w:rsidRDefault="007F0D90" w:rsidP="00DC0D9B">
            <w:pPr>
              <w:spacing w:after="120"/>
              <w:ind w:firstLine="7"/>
              <w:jc w:val="center"/>
              <w:rPr>
                <w:rFonts w:ascii="Century Schoolbook" w:hAnsi="Century Schoolbook"/>
                <w:sz w:val="24"/>
                <w:szCs w:val="24"/>
              </w:rPr>
            </w:pPr>
            <w:r>
              <w:rPr>
                <w:rFonts w:ascii="Century Schoolbook" w:hAnsi="Century Schoolbook"/>
                <w:sz w:val="24"/>
                <w:szCs w:val="24"/>
              </w:rPr>
              <w:t>&amp; Toale</w:t>
            </w:r>
          </w:p>
        </w:tc>
        <w:tc>
          <w:tcPr>
            <w:tcW w:w="3150" w:type="dxa"/>
          </w:tcPr>
          <w:p w:rsidR="007F0D90" w:rsidRDefault="007F0D90" w:rsidP="00DC0D9B">
            <w:pPr>
              <w:jc w:val="center"/>
              <w:rPr>
                <w:rFonts w:ascii="Century Schoolbook" w:hAnsi="Century Schoolbook"/>
                <w:sz w:val="24"/>
                <w:szCs w:val="24"/>
              </w:rPr>
            </w:pPr>
            <w:r w:rsidRPr="008D69F1">
              <w:rPr>
                <w:rFonts w:ascii="Century Schoolbook" w:hAnsi="Century Schoolbook"/>
                <w:sz w:val="24"/>
                <w:szCs w:val="24"/>
              </w:rPr>
              <w:t>Mary Massaron</w:t>
            </w:r>
          </w:p>
          <w:p w:rsidR="007F0D90" w:rsidRPr="008D69F1" w:rsidRDefault="007F0D90" w:rsidP="00DC0D9B">
            <w:pPr>
              <w:spacing w:after="120"/>
              <w:jc w:val="center"/>
              <w:rPr>
                <w:rFonts w:ascii="Century Schoolbook" w:hAnsi="Century Schoolbook"/>
                <w:sz w:val="24"/>
                <w:szCs w:val="24"/>
              </w:rPr>
            </w:pPr>
            <w:r>
              <w:rPr>
                <w:rFonts w:ascii="Century Schoolbook" w:hAnsi="Century Schoolbook"/>
                <w:sz w:val="24"/>
                <w:szCs w:val="24"/>
              </w:rPr>
              <w:t>Plunkett Cooney</w:t>
            </w:r>
          </w:p>
        </w:tc>
      </w:tr>
      <w:tr w:rsidR="007F0D90" w:rsidRPr="008D69F1" w:rsidTr="00DC0D9B">
        <w:trPr>
          <w:trHeight w:val="866"/>
        </w:trPr>
        <w:tc>
          <w:tcPr>
            <w:tcW w:w="3600" w:type="dxa"/>
          </w:tcPr>
          <w:p w:rsidR="007F0D90" w:rsidRDefault="007F0D90" w:rsidP="00DC0D9B">
            <w:pPr>
              <w:ind w:hanging="18"/>
              <w:jc w:val="center"/>
              <w:rPr>
                <w:rFonts w:ascii="Century Schoolbook" w:hAnsi="Century Schoolbook"/>
                <w:sz w:val="24"/>
                <w:szCs w:val="24"/>
              </w:rPr>
            </w:pPr>
            <w:r w:rsidRPr="008D69F1">
              <w:rPr>
                <w:rFonts w:ascii="Century Schoolbook" w:hAnsi="Century Schoolbook"/>
                <w:sz w:val="24"/>
                <w:szCs w:val="24"/>
              </w:rPr>
              <w:t>Debbie Moeller</w:t>
            </w:r>
          </w:p>
          <w:p w:rsidR="007F0D90" w:rsidRPr="008D69F1" w:rsidRDefault="007F0D90" w:rsidP="00DC0D9B">
            <w:pPr>
              <w:spacing w:after="120"/>
              <w:ind w:hanging="18"/>
              <w:jc w:val="center"/>
              <w:rPr>
                <w:rFonts w:ascii="Century Schoolbook" w:hAnsi="Century Schoolbook"/>
                <w:sz w:val="24"/>
                <w:szCs w:val="24"/>
              </w:rPr>
            </w:pPr>
            <w:r>
              <w:rPr>
                <w:rFonts w:ascii="Century Schoolbook" w:hAnsi="Century Schoolbook"/>
                <w:sz w:val="24"/>
                <w:szCs w:val="24"/>
              </w:rPr>
              <w:t>Shook Hardy &amp; Bacon</w:t>
            </w:r>
          </w:p>
        </w:tc>
        <w:tc>
          <w:tcPr>
            <w:tcW w:w="3420" w:type="dxa"/>
          </w:tcPr>
          <w:p w:rsidR="007F0D90" w:rsidRPr="008D69F1" w:rsidRDefault="007F0D90" w:rsidP="00DC0D9B">
            <w:pPr>
              <w:jc w:val="center"/>
              <w:rPr>
                <w:rFonts w:ascii="Century Schoolbook" w:hAnsi="Century Schoolbook"/>
                <w:sz w:val="24"/>
                <w:szCs w:val="24"/>
              </w:rPr>
            </w:pPr>
            <w:r w:rsidRPr="008D69F1">
              <w:rPr>
                <w:rFonts w:ascii="Century Schoolbook" w:hAnsi="Century Schoolbook"/>
                <w:sz w:val="24"/>
                <w:szCs w:val="24"/>
              </w:rPr>
              <w:t>Mark Myhra</w:t>
            </w:r>
          </w:p>
          <w:p w:rsidR="007F0D90" w:rsidRPr="008D69F1" w:rsidRDefault="007F0D90" w:rsidP="00DC0D9B">
            <w:pPr>
              <w:jc w:val="center"/>
              <w:rPr>
                <w:rFonts w:ascii="Century Schoolbook" w:hAnsi="Century Schoolbook"/>
                <w:sz w:val="24"/>
                <w:szCs w:val="24"/>
              </w:rPr>
            </w:pPr>
            <w:r>
              <w:rPr>
                <w:rFonts w:ascii="Century Schoolbook" w:hAnsi="Century Schoolbook"/>
                <w:sz w:val="24"/>
                <w:szCs w:val="24"/>
              </w:rPr>
              <w:t>Boston Scientific</w:t>
            </w:r>
          </w:p>
        </w:tc>
        <w:tc>
          <w:tcPr>
            <w:tcW w:w="3150" w:type="dxa"/>
          </w:tcPr>
          <w:p w:rsidR="007F0D90" w:rsidRDefault="007F0D90" w:rsidP="00DC0D9B">
            <w:pPr>
              <w:jc w:val="center"/>
              <w:rPr>
                <w:rFonts w:ascii="Century Schoolbook" w:hAnsi="Century Schoolbook"/>
                <w:sz w:val="24"/>
                <w:szCs w:val="24"/>
              </w:rPr>
            </w:pPr>
            <w:r w:rsidRPr="008D69F1">
              <w:rPr>
                <w:rFonts w:ascii="Century Schoolbook" w:hAnsi="Century Schoolbook"/>
                <w:sz w:val="24"/>
                <w:szCs w:val="24"/>
              </w:rPr>
              <w:t>Andrew Myers</w:t>
            </w:r>
          </w:p>
          <w:p w:rsidR="007F0D90" w:rsidRPr="008D69F1" w:rsidRDefault="007F0D90" w:rsidP="00DC0D9B">
            <w:pPr>
              <w:ind w:hanging="45"/>
              <w:jc w:val="center"/>
              <w:rPr>
                <w:rFonts w:ascii="Century Schoolbook" w:hAnsi="Century Schoolbook"/>
                <w:sz w:val="24"/>
                <w:szCs w:val="24"/>
              </w:rPr>
            </w:pPr>
            <w:r>
              <w:rPr>
                <w:rFonts w:ascii="Century Schoolbook" w:hAnsi="Century Schoolbook"/>
                <w:sz w:val="24"/>
                <w:szCs w:val="24"/>
              </w:rPr>
              <w:t>Wheeler Trigg O’Donnell</w:t>
            </w:r>
          </w:p>
        </w:tc>
      </w:tr>
      <w:tr w:rsidR="007F0D90" w:rsidRPr="008D69F1" w:rsidTr="00DC0D9B">
        <w:trPr>
          <w:trHeight w:val="458"/>
        </w:trPr>
        <w:tc>
          <w:tcPr>
            <w:tcW w:w="3600" w:type="dxa"/>
          </w:tcPr>
          <w:p w:rsidR="007F0D90" w:rsidRDefault="007F0D90" w:rsidP="00DC0D9B">
            <w:pPr>
              <w:jc w:val="center"/>
              <w:rPr>
                <w:rFonts w:ascii="Century Schoolbook" w:hAnsi="Century Schoolbook"/>
                <w:sz w:val="24"/>
                <w:szCs w:val="24"/>
              </w:rPr>
            </w:pPr>
            <w:r w:rsidRPr="008D69F1">
              <w:rPr>
                <w:rFonts w:ascii="Century Schoolbook" w:hAnsi="Century Schoolbook"/>
                <w:sz w:val="24"/>
                <w:szCs w:val="24"/>
              </w:rPr>
              <w:t>Christopher Ritchie</w:t>
            </w:r>
          </w:p>
          <w:p w:rsidR="007F0D90" w:rsidRDefault="007F0D90" w:rsidP="00DC0D9B">
            <w:pPr>
              <w:jc w:val="center"/>
              <w:rPr>
                <w:rFonts w:ascii="Century Schoolbook" w:hAnsi="Century Schoolbook"/>
                <w:sz w:val="24"/>
                <w:szCs w:val="24"/>
              </w:rPr>
            </w:pPr>
            <w:r>
              <w:rPr>
                <w:rFonts w:ascii="Century Schoolbook" w:hAnsi="Century Schoolbook"/>
                <w:sz w:val="24"/>
                <w:szCs w:val="24"/>
              </w:rPr>
              <w:t xml:space="preserve">The Huntington </w:t>
            </w:r>
          </w:p>
          <w:p w:rsidR="007F0D90" w:rsidRPr="008D69F1" w:rsidRDefault="007F0D90" w:rsidP="00DC0D9B">
            <w:pPr>
              <w:spacing w:after="120"/>
              <w:jc w:val="center"/>
              <w:rPr>
                <w:rFonts w:ascii="Century Schoolbook" w:hAnsi="Century Schoolbook"/>
                <w:sz w:val="24"/>
                <w:szCs w:val="24"/>
              </w:rPr>
            </w:pPr>
            <w:r>
              <w:rPr>
                <w:rFonts w:ascii="Century Schoolbook" w:hAnsi="Century Schoolbook"/>
                <w:sz w:val="24"/>
                <w:szCs w:val="24"/>
              </w:rPr>
              <w:t>National Bank</w:t>
            </w:r>
          </w:p>
        </w:tc>
        <w:tc>
          <w:tcPr>
            <w:tcW w:w="3420" w:type="dxa"/>
          </w:tcPr>
          <w:p w:rsidR="007F0D90" w:rsidRPr="008D69F1" w:rsidRDefault="007F0D90" w:rsidP="00DC0D9B">
            <w:pPr>
              <w:jc w:val="center"/>
              <w:rPr>
                <w:rFonts w:ascii="Century Schoolbook" w:hAnsi="Century Schoolbook"/>
                <w:sz w:val="24"/>
                <w:szCs w:val="24"/>
              </w:rPr>
            </w:pPr>
            <w:r w:rsidRPr="008D69F1">
              <w:rPr>
                <w:rFonts w:ascii="Century Schoolbook" w:hAnsi="Century Schoolbook"/>
                <w:sz w:val="24"/>
                <w:szCs w:val="24"/>
              </w:rPr>
              <w:t>Alan Rothman</w:t>
            </w:r>
          </w:p>
          <w:p w:rsidR="007F0D90" w:rsidRPr="008D69F1" w:rsidRDefault="007F0D90" w:rsidP="00DC0D9B">
            <w:pPr>
              <w:jc w:val="center"/>
              <w:rPr>
                <w:rFonts w:ascii="Century Schoolbook" w:hAnsi="Century Schoolbook"/>
                <w:sz w:val="24"/>
                <w:szCs w:val="24"/>
              </w:rPr>
            </w:pPr>
            <w:r>
              <w:rPr>
                <w:rFonts w:ascii="Century Schoolbook" w:hAnsi="Century Schoolbook"/>
                <w:sz w:val="24"/>
                <w:szCs w:val="24"/>
              </w:rPr>
              <w:t>Arnold &amp; Porter</w:t>
            </w:r>
          </w:p>
        </w:tc>
        <w:tc>
          <w:tcPr>
            <w:tcW w:w="3150" w:type="dxa"/>
          </w:tcPr>
          <w:p w:rsidR="007F0D90" w:rsidRDefault="007F0D90" w:rsidP="00DC0D9B">
            <w:pPr>
              <w:jc w:val="center"/>
              <w:rPr>
                <w:rFonts w:ascii="Century Schoolbook" w:hAnsi="Century Schoolbook"/>
                <w:sz w:val="24"/>
                <w:szCs w:val="24"/>
              </w:rPr>
            </w:pPr>
            <w:r w:rsidRPr="008D69F1">
              <w:rPr>
                <w:rFonts w:ascii="Century Schoolbook" w:hAnsi="Century Schoolbook"/>
                <w:sz w:val="24"/>
                <w:szCs w:val="24"/>
              </w:rPr>
              <w:t xml:space="preserve">Susan </w:t>
            </w:r>
            <w:r w:rsidR="00DC0D9B">
              <w:rPr>
                <w:rFonts w:ascii="Century Schoolbook" w:hAnsi="Century Schoolbook"/>
                <w:sz w:val="24"/>
                <w:szCs w:val="24"/>
              </w:rPr>
              <w:t xml:space="preserve">M. </w:t>
            </w:r>
            <w:r w:rsidRPr="008D69F1">
              <w:rPr>
                <w:rFonts w:ascii="Century Schoolbook" w:hAnsi="Century Schoolbook"/>
                <w:sz w:val="24"/>
                <w:szCs w:val="24"/>
              </w:rPr>
              <w:t>Sharko</w:t>
            </w:r>
          </w:p>
          <w:p w:rsidR="007F0D90" w:rsidRPr="008D69F1" w:rsidRDefault="007F0D90" w:rsidP="00DC0D9B">
            <w:pPr>
              <w:jc w:val="center"/>
              <w:rPr>
                <w:rFonts w:ascii="Century Schoolbook" w:hAnsi="Century Schoolbook"/>
                <w:sz w:val="24"/>
                <w:szCs w:val="24"/>
              </w:rPr>
            </w:pPr>
            <w:r>
              <w:rPr>
                <w:rFonts w:ascii="Century Schoolbook" w:hAnsi="Century Schoolbook"/>
                <w:sz w:val="24"/>
                <w:szCs w:val="24"/>
              </w:rPr>
              <w:t>Drinker Biddle &amp; Reath</w:t>
            </w:r>
          </w:p>
        </w:tc>
      </w:tr>
      <w:tr w:rsidR="007F0D90" w:rsidRPr="008D69F1" w:rsidTr="00DC0D9B">
        <w:trPr>
          <w:trHeight w:val="866"/>
        </w:trPr>
        <w:tc>
          <w:tcPr>
            <w:tcW w:w="3600" w:type="dxa"/>
          </w:tcPr>
          <w:p w:rsidR="007F0D90" w:rsidRPr="008D69F1" w:rsidRDefault="007F0D90" w:rsidP="00DC0D9B">
            <w:pPr>
              <w:spacing w:after="240"/>
              <w:jc w:val="center"/>
              <w:rPr>
                <w:rFonts w:ascii="Century Schoolbook" w:hAnsi="Century Schoolbook"/>
                <w:sz w:val="24"/>
                <w:szCs w:val="24"/>
              </w:rPr>
            </w:pPr>
            <w:r w:rsidRPr="0073774D">
              <w:rPr>
                <w:rFonts w:ascii="Century Schoolbook" w:hAnsi="Century Schoolbook"/>
                <w:sz w:val="24"/>
                <w:szCs w:val="24"/>
              </w:rPr>
              <w:t>Rebecca K. Wood, Sidley Austin LLP until June 2017</w:t>
            </w:r>
          </w:p>
        </w:tc>
        <w:tc>
          <w:tcPr>
            <w:tcW w:w="3420" w:type="dxa"/>
          </w:tcPr>
          <w:p w:rsidR="007F0D90" w:rsidRDefault="007F0D90" w:rsidP="00DC0D9B">
            <w:pPr>
              <w:jc w:val="center"/>
              <w:rPr>
                <w:rFonts w:ascii="Century Schoolbook" w:hAnsi="Century Schoolbook"/>
                <w:sz w:val="24"/>
                <w:szCs w:val="24"/>
              </w:rPr>
            </w:pPr>
            <w:r w:rsidRPr="008D69F1">
              <w:rPr>
                <w:rFonts w:ascii="Century Schoolbook" w:hAnsi="Century Schoolbook"/>
                <w:sz w:val="24"/>
                <w:szCs w:val="24"/>
              </w:rPr>
              <w:t>Amy Zeman</w:t>
            </w:r>
          </w:p>
          <w:p w:rsidR="007F0D90" w:rsidRDefault="007F0D90" w:rsidP="00DC0D9B">
            <w:pPr>
              <w:jc w:val="center"/>
              <w:rPr>
                <w:rFonts w:ascii="Century Schoolbook" w:hAnsi="Century Schoolbook"/>
                <w:sz w:val="24"/>
                <w:szCs w:val="24"/>
              </w:rPr>
            </w:pPr>
            <w:r>
              <w:rPr>
                <w:rFonts w:ascii="Century Schoolbook" w:hAnsi="Century Schoolbook"/>
                <w:sz w:val="24"/>
                <w:szCs w:val="24"/>
              </w:rPr>
              <w:t>Girard Gibbs</w:t>
            </w:r>
          </w:p>
        </w:tc>
        <w:tc>
          <w:tcPr>
            <w:tcW w:w="3150" w:type="dxa"/>
          </w:tcPr>
          <w:p w:rsidR="007F0D90" w:rsidRDefault="007F0D90" w:rsidP="00DC0D9B">
            <w:pPr>
              <w:jc w:val="center"/>
              <w:rPr>
                <w:rFonts w:ascii="Century Schoolbook" w:hAnsi="Century Schoolbook"/>
                <w:sz w:val="24"/>
                <w:szCs w:val="24"/>
              </w:rPr>
            </w:pPr>
            <w:r w:rsidRPr="008D69F1">
              <w:rPr>
                <w:rFonts w:ascii="Century Schoolbook" w:hAnsi="Century Schoolbook"/>
                <w:sz w:val="24"/>
                <w:szCs w:val="24"/>
              </w:rPr>
              <w:t>Kenneth Zucker</w:t>
            </w:r>
          </w:p>
          <w:p w:rsidR="007F0D90" w:rsidRPr="008D69F1" w:rsidRDefault="007F0D90" w:rsidP="00DC0D9B">
            <w:pPr>
              <w:jc w:val="center"/>
              <w:rPr>
                <w:rFonts w:ascii="Century Schoolbook" w:hAnsi="Century Schoolbook"/>
                <w:sz w:val="24"/>
                <w:szCs w:val="24"/>
              </w:rPr>
            </w:pPr>
            <w:r>
              <w:rPr>
                <w:rFonts w:ascii="Century Schoolbook" w:hAnsi="Century Schoolbook"/>
                <w:sz w:val="24"/>
                <w:szCs w:val="24"/>
              </w:rPr>
              <w:t>Pepper Hamilton</w:t>
            </w:r>
          </w:p>
        </w:tc>
      </w:tr>
    </w:tbl>
    <w:p w:rsidR="00610156" w:rsidRDefault="00610156" w:rsidP="00610156">
      <w:pPr>
        <w:jc w:val="both"/>
        <w:rPr>
          <w:rFonts w:ascii="Century Schoolbook" w:hAnsi="Century Schoolbook"/>
        </w:rPr>
      </w:pPr>
    </w:p>
    <w:p w:rsidR="00DC0D9B" w:rsidRDefault="00DC0D9B" w:rsidP="00610156">
      <w:pPr>
        <w:jc w:val="both"/>
        <w:rPr>
          <w:rFonts w:ascii="Century Schoolbook" w:hAnsi="Century Schoolbook"/>
        </w:rPr>
      </w:pPr>
    </w:p>
    <w:p w:rsidR="00DC0D9B" w:rsidRDefault="00DC0D9B" w:rsidP="00610156">
      <w:pPr>
        <w:jc w:val="both"/>
        <w:rPr>
          <w:rFonts w:ascii="Century Schoolbook" w:hAnsi="Century Schoolbook"/>
        </w:rPr>
      </w:pPr>
    </w:p>
    <w:p w:rsidR="00610156" w:rsidRPr="00573FA5" w:rsidRDefault="00CA3C6F" w:rsidP="00610156">
      <w:pPr>
        <w:ind w:firstLine="720"/>
        <w:rPr>
          <w:rFonts w:ascii="Century Schoolbook" w:hAnsi="Century Schoolbook"/>
          <w:sz w:val="24"/>
          <w:szCs w:val="24"/>
        </w:rPr>
      </w:pPr>
      <w:r w:rsidRPr="00573FA5">
        <w:rPr>
          <w:rFonts w:ascii="Century Schoolbook" w:hAnsi="Century Schoolbook"/>
          <w:sz w:val="24"/>
          <w:szCs w:val="24"/>
        </w:rPr>
        <w:lastRenderedPageBreak/>
        <w:t>We thank Patrick Bradley, Leah Brenner, Matthew Eible, and Calypso Taylor, the four Duke Law, Bolch Judicial Institute Fellows, who edited, proofread, cite checked, and provided valuable comments and criticisms.</w:t>
      </w:r>
      <w:r w:rsidR="00610156">
        <w:rPr>
          <w:rFonts w:ascii="Century Schoolbook" w:hAnsi="Century Schoolbook"/>
          <w:sz w:val="24"/>
          <w:szCs w:val="24"/>
        </w:rPr>
        <w:t xml:space="preserve">  In particular, we gratefully acknowledge the extensive and superb editing suggestions submitted by James Be</w:t>
      </w:r>
      <w:r w:rsidR="00016696">
        <w:rPr>
          <w:rFonts w:ascii="Century Schoolbook" w:hAnsi="Century Schoolbook"/>
          <w:sz w:val="24"/>
          <w:szCs w:val="24"/>
        </w:rPr>
        <w:t>c</w:t>
      </w:r>
      <w:r w:rsidR="00610156">
        <w:rPr>
          <w:rFonts w:ascii="Century Schoolbook" w:hAnsi="Century Schoolbook"/>
          <w:sz w:val="24"/>
          <w:szCs w:val="24"/>
        </w:rPr>
        <w:t xml:space="preserve">k, Reed Smith, which markedly improved the document’s clarity. </w:t>
      </w:r>
    </w:p>
    <w:p w:rsidR="00610156" w:rsidRPr="00573FA5" w:rsidRDefault="00610156" w:rsidP="00610156">
      <w:pPr>
        <w:ind w:firstLine="720"/>
        <w:jc w:val="both"/>
        <w:rPr>
          <w:rFonts w:ascii="Century Schoolbook" w:hAnsi="Century Schoolbook"/>
          <w:sz w:val="24"/>
          <w:szCs w:val="24"/>
        </w:rPr>
      </w:pPr>
    </w:p>
    <w:p w:rsidR="00610156" w:rsidRPr="00573FA5" w:rsidRDefault="00CA3C6F" w:rsidP="00610156">
      <w:pPr>
        <w:ind w:firstLine="720"/>
        <w:rPr>
          <w:rFonts w:ascii="Century Schoolbook" w:hAnsi="Century Schoolbook"/>
          <w:sz w:val="24"/>
          <w:szCs w:val="24"/>
        </w:rPr>
      </w:pPr>
      <w:r w:rsidRPr="00573FA5">
        <w:rPr>
          <w:rFonts w:ascii="Century Schoolbook" w:hAnsi="Century Schoolbook"/>
          <w:sz w:val="24"/>
          <w:szCs w:val="24"/>
        </w:rPr>
        <w:t>The feedback and input of the judiciary have been invaluable in identifying best practices, exploring the challenges faced by judges, and the viability of the proposed standards and best practices. The ways in which these standards and best practices have benefitted from the candid assessment of the judiciary cannot be understated. It is with the greatest of thanks that we recognize the contributions of the thirteen judges, who attended the 2016 MDL conference and the seven judges who reviewed early drafts and provided comments and suggestions.</w:t>
      </w:r>
    </w:p>
    <w:p w:rsidR="00610156" w:rsidRPr="00573FA5" w:rsidRDefault="00610156" w:rsidP="00610156">
      <w:pPr>
        <w:ind w:firstLine="720"/>
        <w:jc w:val="both"/>
        <w:rPr>
          <w:rFonts w:ascii="Century Schoolbook" w:hAnsi="Century Schoolbook"/>
          <w:sz w:val="24"/>
          <w:szCs w:val="24"/>
        </w:rPr>
      </w:pPr>
    </w:p>
    <w:p w:rsidR="00610156" w:rsidRPr="00573FA5" w:rsidRDefault="00CA3C6F" w:rsidP="00610156">
      <w:pPr>
        <w:rPr>
          <w:rFonts w:ascii="Century Schoolbook" w:hAnsi="Century Schoolbook"/>
          <w:sz w:val="24"/>
          <w:szCs w:val="24"/>
        </w:rPr>
      </w:pPr>
      <w:r w:rsidRPr="00573FA5">
        <w:rPr>
          <w:rFonts w:ascii="Century Schoolbook" w:hAnsi="Century Schoolbook"/>
          <w:sz w:val="24"/>
          <w:szCs w:val="24"/>
        </w:rPr>
        <w:tab/>
      </w:r>
      <w:r w:rsidRPr="00573FA5">
        <w:rPr>
          <w:rFonts w:ascii="Century Schoolbook" w:hAnsi="Century Schoolbook"/>
          <w:sz w:val="24"/>
          <w:szCs w:val="24"/>
        </w:rPr>
        <w:tab/>
      </w:r>
      <w:r w:rsidRPr="00573FA5">
        <w:rPr>
          <w:rFonts w:ascii="Century Schoolbook" w:hAnsi="Century Schoolbook"/>
          <w:sz w:val="24"/>
          <w:szCs w:val="24"/>
        </w:rPr>
        <w:tab/>
      </w:r>
      <w:r w:rsidRPr="00573FA5">
        <w:rPr>
          <w:rFonts w:ascii="Century Schoolbook" w:hAnsi="Century Schoolbook"/>
          <w:sz w:val="24"/>
          <w:szCs w:val="24"/>
        </w:rPr>
        <w:tab/>
        <w:t xml:space="preserve">        </w:t>
      </w:r>
      <w:r w:rsidRPr="00573FA5">
        <w:rPr>
          <w:rFonts w:ascii="Century Schoolbook" w:hAnsi="Century Schoolbook"/>
          <w:sz w:val="24"/>
          <w:szCs w:val="24"/>
        </w:rPr>
        <w:tab/>
      </w:r>
      <w:r w:rsidRPr="00573FA5">
        <w:rPr>
          <w:rFonts w:ascii="Century Schoolbook" w:hAnsi="Century Schoolbook"/>
          <w:sz w:val="24"/>
          <w:szCs w:val="24"/>
        </w:rPr>
        <w:tab/>
      </w:r>
      <w:r w:rsidRPr="00573FA5">
        <w:rPr>
          <w:rFonts w:ascii="Century Schoolbook" w:hAnsi="Century Schoolbook"/>
          <w:sz w:val="24"/>
          <w:szCs w:val="24"/>
        </w:rPr>
        <w:tab/>
        <w:t xml:space="preserve">   </w:t>
      </w:r>
      <w:r w:rsidRPr="00573FA5">
        <w:rPr>
          <w:rFonts w:ascii="Century Schoolbook" w:hAnsi="Century Schoolbook"/>
          <w:sz w:val="24"/>
          <w:szCs w:val="24"/>
        </w:rPr>
        <w:tab/>
      </w:r>
      <w:r w:rsidRPr="00573FA5">
        <w:rPr>
          <w:rFonts w:ascii="Century Schoolbook" w:hAnsi="Century Schoolbook"/>
          <w:sz w:val="24"/>
          <w:szCs w:val="24"/>
        </w:rPr>
        <w:tab/>
        <w:t xml:space="preserve">  </w:t>
      </w:r>
      <w:r>
        <w:rPr>
          <w:rFonts w:ascii="Century Schoolbook" w:hAnsi="Century Schoolbook"/>
          <w:sz w:val="24"/>
          <w:szCs w:val="24"/>
        </w:rPr>
        <w:t xml:space="preserve"> </w:t>
      </w:r>
      <w:r w:rsidRPr="00573FA5">
        <w:rPr>
          <w:rFonts w:ascii="Century Schoolbook" w:hAnsi="Century Schoolbook"/>
          <w:sz w:val="24"/>
          <w:szCs w:val="24"/>
        </w:rPr>
        <w:t>Bolch Judicial Institute</w:t>
      </w:r>
    </w:p>
    <w:p w:rsidR="00610156" w:rsidRPr="00573FA5" w:rsidRDefault="00CA3C6F" w:rsidP="00610156">
      <w:pPr>
        <w:rPr>
          <w:rFonts w:ascii="Century Schoolbook" w:hAnsi="Century Schoolbook"/>
          <w:sz w:val="24"/>
          <w:szCs w:val="24"/>
        </w:rPr>
      </w:pPr>
      <w:r w:rsidRPr="00573FA5">
        <w:rPr>
          <w:rFonts w:ascii="Century Schoolbook" w:hAnsi="Century Schoolbook"/>
          <w:sz w:val="24"/>
          <w:szCs w:val="24"/>
        </w:rPr>
        <w:t xml:space="preserve"> </w:t>
      </w:r>
      <w:r w:rsidRPr="00573FA5">
        <w:rPr>
          <w:rFonts w:ascii="Century Schoolbook" w:hAnsi="Century Schoolbook"/>
          <w:sz w:val="24"/>
          <w:szCs w:val="24"/>
        </w:rPr>
        <w:tab/>
      </w:r>
      <w:r w:rsidRPr="00573FA5">
        <w:rPr>
          <w:rFonts w:ascii="Century Schoolbook" w:hAnsi="Century Schoolbook"/>
          <w:sz w:val="24"/>
          <w:szCs w:val="24"/>
        </w:rPr>
        <w:tab/>
      </w:r>
      <w:r w:rsidRPr="00573FA5">
        <w:rPr>
          <w:rFonts w:ascii="Century Schoolbook" w:hAnsi="Century Schoolbook"/>
          <w:sz w:val="24"/>
          <w:szCs w:val="24"/>
        </w:rPr>
        <w:tab/>
      </w:r>
      <w:r w:rsidRPr="00573FA5">
        <w:rPr>
          <w:rFonts w:ascii="Century Schoolbook" w:hAnsi="Century Schoolbook"/>
          <w:sz w:val="24"/>
          <w:szCs w:val="24"/>
        </w:rPr>
        <w:tab/>
      </w:r>
      <w:r w:rsidRPr="00573FA5">
        <w:rPr>
          <w:rFonts w:ascii="Century Schoolbook" w:hAnsi="Century Schoolbook"/>
          <w:sz w:val="24"/>
          <w:szCs w:val="24"/>
        </w:rPr>
        <w:tab/>
      </w:r>
      <w:r w:rsidRPr="00573FA5">
        <w:rPr>
          <w:rFonts w:ascii="Century Schoolbook" w:hAnsi="Century Schoolbook"/>
          <w:sz w:val="24"/>
          <w:szCs w:val="24"/>
        </w:rPr>
        <w:tab/>
      </w:r>
      <w:r w:rsidRPr="00573FA5">
        <w:rPr>
          <w:rFonts w:ascii="Century Schoolbook" w:hAnsi="Century Schoolbook"/>
          <w:sz w:val="24"/>
          <w:szCs w:val="24"/>
        </w:rPr>
        <w:tab/>
      </w:r>
      <w:r w:rsidRPr="00573FA5">
        <w:rPr>
          <w:rFonts w:ascii="Century Schoolbook" w:hAnsi="Century Schoolbook"/>
          <w:sz w:val="24"/>
          <w:szCs w:val="24"/>
        </w:rPr>
        <w:tab/>
      </w:r>
      <w:r w:rsidRPr="00573FA5">
        <w:rPr>
          <w:rFonts w:ascii="Century Schoolbook" w:hAnsi="Century Schoolbook"/>
          <w:sz w:val="24"/>
          <w:szCs w:val="24"/>
        </w:rPr>
        <w:tab/>
      </w:r>
      <w:r>
        <w:rPr>
          <w:rFonts w:ascii="Century Schoolbook" w:hAnsi="Century Schoolbook"/>
          <w:sz w:val="24"/>
          <w:szCs w:val="24"/>
        </w:rPr>
        <w:t xml:space="preserve">         </w:t>
      </w:r>
      <w:r w:rsidRPr="00573FA5">
        <w:rPr>
          <w:rFonts w:ascii="Century Schoolbook" w:hAnsi="Century Schoolbook"/>
          <w:sz w:val="24"/>
          <w:szCs w:val="24"/>
        </w:rPr>
        <w:t xml:space="preserve">     Duke Law School  </w:t>
      </w:r>
    </w:p>
    <w:p w:rsidR="00610156" w:rsidRPr="00573FA5" w:rsidRDefault="00CA3C6F" w:rsidP="00610156">
      <w:pPr>
        <w:rPr>
          <w:rFonts w:ascii="Century Schoolbook" w:hAnsi="Century Schoolbook"/>
          <w:sz w:val="24"/>
          <w:szCs w:val="24"/>
        </w:rPr>
      </w:pPr>
      <w:r w:rsidRPr="00573FA5">
        <w:rPr>
          <w:rFonts w:ascii="Century Schoolbook" w:hAnsi="Century Schoolbook"/>
          <w:sz w:val="24"/>
          <w:szCs w:val="24"/>
        </w:rPr>
        <w:tab/>
      </w:r>
      <w:r w:rsidRPr="00573FA5">
        <w:rPr>
          <w:rFonts w:ascii="Century Schoolbook" w:hAnsi="Century Schoolbook"/>
          <w:sz w:val="24"/>
          <w:szCs w:val="24"/>
        </w:rPr>
        <w:tab/>
      </w:r>
      <w:r w:rsidRPr="00573FA5">
        <w:rPr>
          <w:rFonts w:ascii="Century Schoolbook" w:hAnsi="Century Schoolbook"/>
          <w:sz w:val="24"/>
          <w:szCs w:val="24"/>
        </w:rPr>
        <w:tab/>
      </w:r>
      <w:r w:rsidRPr="00573FA5">
        <w:rPr>
          <w:rFonts w:ascii="Century Schoolbook" w:hAnsi="Century Schoolbook"/>
          <w:sz w:val="24"/>
          <w:szCs w:val="24"/>
        </w:rPr>
        <w:tab/>
      </w:r>
      <w:r w:rsidRPr="00573FA5">
        <w:rPr>
          <w:rFonts w:ascii="Century Schoolbook" w:hAnsi="Century Schoolbook"/>
          <w:sz w:val="24"/>
          <w:szCs w:val="24"/>
        </w:rPr>
        <w:tab/>
      </w:r>
      <w:r w:rsidRPr="00573FA5">
        <w:rPr>
          <w:rFonts w:ascii="Century Schoolbook" w:hAnsi="Century Schoolbook"/>
          <w:sz w:val="24"/>
          <w:szCs w:val="24"/>
        </w:rPr>
        <w:tab/>
      </w:r>
      <w:r w:rsidRPr="00573FA5">
        <w:rPr>
          <w:rFonts w:ascii="Century Schoolbook" w:hAnsi="Century Schoolbook"/>
          <w:sz w:val="24"/>
          <w:szCs w:val="24"/>
        </w:rPr>
        <w:tab/>
      </w:r>
      <w:r w:rsidRPr="00573FA5">
        <w:rPr>
          <w:rFonts w:ascii="Century Schoolbook" w:hAnsi="Century Schoolbook"/>
          <w:sz w:val="24"/>
          <w:szCs w:val="24"/>
        </w:rPr>
        <w:tab/>
      </w:r>
      <w:r w:rsidRPr="00573FA5">
        <w:rPr>
          <w:rFonts w:ascii="Century Schoolbook" w:hAnsi="Century Schoolbook"/>
          <w:sz w:val="24"/>
          <w:szCs w:val="24"/>
        </w:rPr>
        <w:tab/>
      </w:r>
      <w:r w:rsidRPr="00573FA5">
        <w:rPr>
          <w:rFonts w:ascii="Century Schoolbook" w:hAnsi="Century Schoolbook"/>
          <w:sz w:val="24"/>
          <w:szCs w:val="24"/>
        </w:rPr>
        <w:tab/>
        <w:t xml:space="preserve">      </w:t>
      </w:r>
      <w:r w:rsidR="00D66510">
        <w:rPr>
          <w:rFonts w:ascii="Century Schoolbook" w:hAnsi="Century Schoolbook"/>
          <w:sz w:val="24"/>
          <w:szCs w:val="24"/>
        </w:rPr>
        <w:t>May 14</w:t>
      </w:r>
      <w:r w:rsidRPr="00573FA5">
        <w:rPr>
          <w:rFonts w:ascii="Century Schoolbook" w:hAnsi="Century Schoolbook"/>
          <w:sz w:val="24"/>
          <w:szCs w:val="24"/>
        </w:rPr>
        <w:t>, 2018</w:t>
      </w:r>
    </w:p>
    <w:p w:rsidR="00610156" w:rsidRPr="00573FA5" w:rsidRDefault="00610156" w:rsidP="00610156">
      <w:pPr>
        <w:pStyle w:val="NoSpacing"/>
        <w:jc w:val="center"/>
        <w:rPr>
          <w:rFonts w:ascii="Century Schoolbook" w:hAnsi="Century Schoolbook"/>
          <w:b/>
          <w:sz w:val="24"/>
          <w:szCs w:val="24"/>
        </w:rPr>
      </w:pPr>
    </w:p>
    <w:p w:rsidR="00610156" w:rsidRPr="00573FA5" w:rsidRDefault="00610156" w:rsidP="00610156">
      <w:pPr>
        <w:pStyle w:val="NoSpacing"/>
        <w:jc w:val="center"/>
        <w:rPr>
          <w:rFonts w:ascii="Century Schoolbook" w:hAnsi="Century Schoolbook"/>
          <w:b/>
          <w:sz w:val="32"/>
          <w:szCs w:val="32"/>
        </w:rPr>
      </w:pPr>
    </w:p>
    <w:p w:rsidR="00610156" w:rsidRPr="00573FA5" w:rsidRDefault="00610156" w:rsidP="00610156">
      <w:pPr>
        <w:pStyle w:val="NoSpacing"/>
        <w:jc w:val="center"/>
        <w:rPr>
          <w:rFonts w:ascii="Century Schoolbook" w:hAnsi="Century Schoolbook"/>
          <w:b/>
          <w:sz w:val="32"/>
          <w:szCs w:val="32"/>
        </w:rPr>
      </w:pPr>
    </w:p>
    <w:p w:rsidR="00610156" w:rsidRPr="00573FA5" w:rsidRDefault="00610156" w:rsidP="00610156">
      <w:pPr>
        <w:pStyle w:val="NoSpacing"/>
        <w:jc w:val="center"/>
        <w:rPr>
          <w:rFonts w:ascii="Century Schoolbook" w:hAnsi="Century Schoolbook"/>
          <w:b/>
          <w:sz w:val="32"/>
          <w:szCs w:val="32"/>
        </w:rPr>
      </w:pPr>
    </w:p>
    <w:p w:rsidR="00610156" w:rsidRPr="00573FA5" w:rsidRDefault="00610156" w:rsidP="00610156">
      <w:pPr>
        <w:pStyle w:val="NoSpacing"/>
        <w:jc w:val="center"/>
        <w:rPr>
          <w:rFonts w:ascii="Century Schoolbook" w:hAnsi="Century Schoolbook"/>
          <w:b/>
          <w:sz w:val="32"/>
          <w:szCs w:val="32"/>
        </w:rPr>
      </w:pPr>
    </w:p>
    <w:p w:rsidR="00610156" w:rsidRPr="00573FA5" w:rsidRDefault="00610156" w:rsidP="00610156">
      <w:pPr>
        <w:pStyle w:val="NoSpacing"/>
        <w:jc w:val="center"/>
        <w:rPr>
          <w:rFonts w:ascii="Century Schoolbook" w:hAnsi="Century Schoolbook"/>
          <w:b/>
          <w:sz w:val="32"/>
          <w:szCs w:val="32"/>
        </w:rPr>
      </w:pPr>
    </w:p>
    <w:p w:rsidR="00610156" w:rsidRPr="00573FA5" w:rsidRDefault="00610156" w:rsidP="00610156">
      <w:pPr>
        <w:pStyle w:val="NoSpacing"/>
        <w:jc w:val="center"/>
        <w:rPr>
          <w:rFonts w:ascii="Century Schoolbook" w:hAnsi="Century Schoolbook"/>
          <w:b/>
          <w:sz w:val="32"/>
          <w:szCs w:val="32"/>
        </w:rPr>
      </w:pPr>
    </w:p>
    <w:p w:rsidR="00610156" w:rsidRPr="00573FA5" w:rsidRDefault="00610156" w:rsidP="00610156">
      <w:pPr>
        <w:pStyle w:val="NoSpacing"/>
        <w:jc w:val="center"/>
        <w:rPr>
          <w:rFonts w:ascii="Century Schoolbook" w:hAnsi="Century Schoolbook"/>
          <w:b/>
          <w:sz w:val="32"/>
          <w:szCs w:val="32"/>
        </w:rPr>
      </w:pPr>
    </w:p>
    <w:p w:rsidR="00610156" w:rsidRDefault="00610156" w:rsidP="00610156">
      <w:pPr>
        <w:pStyle w:val="NoSpacing"/>
        <w:jc w:val="center"/>
        <w:rPr>
          <w:rFonts w:ascii="Century Schoolbook" w:hAnsi="Century Schoolbook"/>
          <w:b/>
          <w:sz w:val="32"/>
          <w:szCs w:val="32"/>
        </w:rPr>
      </w:pPr>
    </w:p>
    <w:p w:rsidR="00610156" w:rsidRDefault="00610156" w:rsidP="00610156">
      <w:pPr>
        <w:pStyle w:val="NoSpacing"/>
        <w:jc w:val="center"/>
        <w:rPr>
          <w:rFonts w:ascii="Century Schoolbook" w:hAnsi="Century Schoolbook"/>
          <w:b/>
          <w:sz w:val="32"/>
          <w:szCs w:val="32"/>
        </w:rPr>
      </w:pPr>
    </w:p>
    <w:p w:rsidR="00610156" w:rsidRDefault="00610156" w:rsidP="00610156">
      <w:pPr>
        <w:pStyle w:val="NoSpacing"/>
        <w:jc w:val="center"/>
        <w:rPr>
          <w:rFonts w:ascii="Century Schoolbook" w:hAnsi="Century Schoolbook"/>
          <w:b/>
          <w:sz w:val="32"/>
          <w:szCs w:val="32"/>
        </w:rPr>
      </w:pPr>
    </w:p>
    <w:p w:rsidR="00610156" w:rsidRPr="00573FA5" w:rsidRDefault="00610156" w:rsidP="00610156">
      <w:pPr>
        <w:pStyle w:val="NoSpacing"/>
        <w:jc w:val="center"/>
        <w:rPr>
          <w:rFonts w:ascii="Century Schoolbook" w:hAnsi="Century Schoolbook"/>
          <w:b/>
          <w:sz w:val="32"/>
          <w:szCs w:val="32"/>
        </w:rPr>
      </w:pPr>
    </w:p>
    <w:p w:rsidR="00610156" w:rsidRPr="00573FA5" w:rsidRDefault="00610156" w:rsidP="00610156">
      <w:pPr>
        <w:pStyle w:val="NoSpacing"/>
        <w:jc w:val="center"/>
        <w:rPr>
          <w:rFonts w:ascii="Century Schoolbook" w:hAnsi="Century Schoolbook"/>
          <w:b/>
          <w:sz w:val="32"/>
          <w:szCs w:val="32"/>
        </w:rPr>
      </w:pPr>
    </w:p>
    <w:p w:rsidR="00610156" w:rsidRPr="00573FA5" w:rsidRDefault="00610156" w:rsidP="00610156">
      <w:pPr>
        <w:pStyle w:val="NoSpacing"/>
        <w:jc w:val="center"/>
        <w:rPr>
          <w:rFonts w:ascii="Century Schoolbook" w:hAnsi="Century Schoolbook"/>
          <w:b/>
          <w:sz w:val="32"/>
          <w:szCs w:val="32"/>
        </w:rPr>
      </w:pPr>
    </w:p>
    <w:p w:rsidR="00610156" w:rsidRDefault="00610156" w:rsidP="00610156">
      <w:pPr>
        <w:pStyle w:val="NoSpacing"/>
        <w:jc w:val="center"/>
        <w:rPr>
          <w:rFonts w:ascii="Century Schoolbook" w:hAnsi="Century Schoolbook"/>
          <w:b/>
          <w:smallCaps/>
          <w:sz w:val="32"/>
          <w:szCs w:val="32"/>
        </w:rPr>
        <w:sectPr w:rsidR="00610156" w:rsidSect="00610156">
          <w:footerReference w:type="default" r:id="rId8"/>
          <w:footerReference w:type="first" r:id="rId9"/>
          <w:pgSz w:w="12240" w:h="15840"/>
          <w:pgMar w:top="1440" w:right="1440" w:bottom="1440" w:left="1440" w:header="720" w:footer="720" w:gutter="0"/>
          <w:pgNumType w:fmt="lowerRoman"/>
          <w:cols w:space="720"/>
          <w:titlePg/>
          <w:docGrid w:linePitch="360"/>
        </w:sectPr>
      </w:pPr>
    </w:p>
    <w:p w:rsidR="00610156" w:rsidRPr="00573FA5" w:rsidRDefault="00CA3C6F" w:rsidP="00610156">
      <w:pPr>
        <w:pStyle w:val="NoSpacing"/>
        <w:jc w:val="center"/>
        <w:rPr>
          <w:rFonts w:ascii="Century Schoolbook" w:hAnsi="Century Schoolbook"/>
          <w:b/>
          <w:smallCaps/>
          <w:sz w:val="32"/>
          <w:szCs w:val="32"/>
        </w:rPr>
      </w:pPr>
      <w:r>
        <w:rPr>
          <w:rFonts w:ascii="Century Schoolbook" w:hAnsi="Century Schoolbook"/>
          <w:b/>
          <w:smallCaps/>
          <w:sz w:val="32"/>
          <w:szCs w:val="32"/>
        </w:rPr>
        <w:lastRenderedPageBreak/>
        <w:t>S</w:t>
      </w:r>
      <w:r w:rsidRPr="00573FA5">
        <w:rPr>
          <w:rFonts w:ascii="Century Schoolbook" w:hAnsi="Century Schoolbook"/>
          <w:b/>
          <w:smallCaps/>
          <w:sz w:val="32"/>
          <w:szCs w:val="32"/>
        </w:rPr>
        <w:t>TANDARDS AND BEST PRACTICES</w:t>
      </w:r>
    </w:p>
    <w:p w:rsidR="00610156" w:rsidRPr="00573FA5" w:rsidRDefault="00CA3C6F" w:rsidP="00610156">
      <w:pPr>
        <w:pStyle w:val="NoSpacing"/>
        <w:jc w:val="center"/>
        <w:rPr>
          <w:rFonts w:ascii="Century Schoolbook" w:hAnsi="Century Schoolbook"/>
          <w:b/>
          <w:smallCaps/>
          <w:sz w:val="32"/>
          <w:szCs w:val="32"/>
        </w:rPr>
      </w:pPr>
      <w:r w:rsidRPr="00573FA5">
        <w:rPr>
          <w:rFonts w:ascii="Century Schoolbook" w:hAnsi="Century Schoolbook"/>
          <w:b/>
          <w:smallCaps/>
          <w:sz w:val="32"/>
          <w:szCs w:val="32"/>
        </w:rPr>
        <w:t>FOR LARGE AND MASS-TORT MDLS</w:t>
      </w:r>
    </w:p>
    <w:p w:rsidR="00610156" w:rsidRPr="00573FA5" w:rsidRDefault="00A8215C" w:rsidP="007F0D90">
      <w:pPr>
        <w:pStyle w:val="NoSpacing"/>
        <w:spacing w:after="240"/>
        <w:jc w:val="center"/>
        <w:rPr>
          <w:rFonts w:ascii="Century Schoolbook" w:hAnsi="Century Schoolbook"/>
          <w:b/>
          <w:sz w:val="28"/>
          <w:szCs w:val="28"/>
        </w:rPr>
      </w:pPr>
      <w:r>
        <w:rPr>
          <w:rFonts w:ascii="Century Schoolbook" w:hAnsi="Century Schoolbook"/>
          <w:b/>
          <w:smallCaps/>
          <w:sz w:val="28"/>
          <w:szCs w:val="28"/>
        </w:rPr>
        <w:t>May</w:t>
      </w:r>
      <w:r w:rsidR="00CA3C6F" w:rsidRPr="00573FA5">
        <w:rPr>
          <w:rFonts w:ascii="Century Schoolbook" w:hAnsi="Century Schoolbook"/>
          <w:b/>
          <w:smallCaps/>
          <w:sz w:val="28"/>
          <w:szCs w:val="28"/>
        </w:rPr>
        <w:t xml:space="preserve"> 2018</w:t>
      </w:r>
    </w:p>
    <w:p w:rsidR="00610156" w:rsidRPr="00573FA5" w:rsidRDefault="00CA3C6F" w:rsidP="00610156">
      <w:pPr>
        <w:pStyle w:val="NoSpacing"/>
        <w:jc w:val="center"/>
        <w:rPr>
          <w:rFonts w:ascii="Century Schoolbook" w:hAnsi="Century Schoolbook"/>
          <w:b/>
          <w:sz w:val="24"/>
          <w:szCs w:val="24"/>
        </w:rPr>
      </w:pPr>
      <w:r w:rsidRPr="00573FA5">
        <w:rPr>
          <w:rFonts w:ascii="Century Schoolbook" w:hAnsi="Century Schoolbook"/>
          <w:b/>
          <w:sz w:val="24"/>
          <w:szCs w:val="24"/>
        </w:rPr>
        <w:t>(Updating and Revising December 2014 MDL</w:t>
      </w:r>
    </w:p>
    <w:p w:rsidR="00610156" w:rsidRPr="00573FA5" w:rsidRDefault="00CA3C6F" w:rsidP="00610156">
      <w:pPr>
        <w:pStyle w:val="NoSpacing"/>
        <w:jc w:val="center"/>
        <w:rPr>
          <w:rFonts w:ascii="Century Schoolbook" w:hAnsi="Century Schoolbook"/>
          <w:b/>
          <w:sz w:val="24"/>
          <w:szCs w:val="24"/>
        </w:rPr>
      </w:pPr>
      <w:r w:rsidRPr="00573FA5">
        <w:rPr>
          <w:rFonts w:ascii="Century Schoolbook" w:hAnsi="Century Schoolbook"/>
          <w:b/>
          <w:sz w:val="24"/>
          <w:szCs w:val="24"/>
        </w:rPr>
        <w:t>Standards and Best Practices)</w:t>
      </w:r>
    </w:p>
    <w:p w:rsidR="00610156" w:rsidRPr="00573FA5" w:rsidRDefault="00610156" w:rsidP="00610156">
      <w:pPr>
        <w:ind w:left="720" w:right="720"/>
        <w:contextualSpacing/>
        <w:rPr>
          <w:rFonts w:ascii="Century Schoolbook" w:hAnsi="Century Schoolbook"/>
          <w:i/>
          <w:smallCaps/>
          <w:sz w:val="24"/>
          <w:szCs w:val="24"/>
        </w:rPr>
      </w:pPr>
    </w:p>
    <w:p w:rsidR="00610156" w:rsidRPr="004A00C1" w:rsidRDefault="00CA3C6F" w:rsidP="00610156">
      <w:pPr>
        <w:ind w:left="720" w:right="720"/>
        <w:contextualSpacing/>
        <w:jc w:val="center"/>
        <w:rPr>
          <w:rFonts w:ascii="Century Schoolbook" w:hAnsi="Century Schoolbook"/>
          <w:b/>
          <w:smallCaps/>
          <w:sz w:val="28"/>
          <w:szCs w:val="28"/>
        </w:rPr>
      </w:pPr>
      <w:r w:rsidRPr="004A00C1">
        <w:rPr>
          <w:rFonts w:ascii="Century Schoolbook" w:hAnsi="Century Schoolbook"/>
          <w:b/>
          <w:smallCaps/>
          <w:sz w:val="28"/>
          <w:szCs w:val="28"/>
        </w:rPr>
        <w:t>CHAPTER 1</w:t>
      </w:r>
    </w:p>
    <w:p w:rsidR="00610156" w:rsidRPr="004A00C1" w:rsidRDefault="00610156" w:rsidP="00610156">
      <w:pPr>
        <w:ind w:left="720" w:right="720"/>
        <w:contextualSpacing/>
        <w:jc w:val="center"/>
        <w:rPr>
          <w:rFonts w:ascii="Century Schoolbook" w:hAnsi="Century Schoolbook"/>
          <w:b/>
          <w:smallCaps/>
          <w:sz w:val="28"/>
          <w:szCs w:val="28"/>
        </w:rPr>
      </w:pPr>
    </w:p>
    <w:p w:rsidR="00610156" w:rsidRPr="004A00C1" w:rsidRDefault="00CA3C6F" w:rsidP="00610156">
      <w:pPr>
        <w:ind w:left="720" w:right="720"/>
        <w:contextualSpacing/>
        <w:jc w:val="center"/>
        <w:rPr>
          <w:rFonts w:ascii="Century Schoolbook" w:hAnsi="Century Schoolbook"/>
          <w:b/>
          <w:smallCaps/>
          <w:sz w:val="28"/>
          <w:szCs w:val="28"/>
        </w:rPr>
      </w:pPr>
      <w:r w:rsidRPr="004A00C1">
        <w:rPr>
          <w:rFonts w:ascii="Century Schoolbook" w:hAnsi="Century Schoolbook"/>
          <w:b/>
          <w:smallCaps/>
          <w:sz w:val="28"/>
          <w:szCs w:val="28"/>
        </w:rPr>
        <w:t>MANAGEMENT OF TRANSFERRED CASES</w:t>
      </w:r>
    </w:p>
    <w:p w:rsidR="00610156" w:rsidRPr="004A00C1" w:rsidRDefault="00CA3C6F" w:rsidP="00610156">
      <w:pPr>
        <w:tabs>
          <w:tab w:val="left" w:pos="1800"/>
        </w:tabs>
        <w:spacing w:before="120"/>
        <w:ind w:left="720" w:right="720"/>
        <w:rPr>
          <w:rFonts w:ascii="Century Schoolbook" w:hAnsi="Century Schoolbook"/>
          <w:sz w:val="24"/>
          <w:szCs w:val="24"/>
        </w:rPr>
      </w:pPr>
      <w:r w:rsidRPr="004A00C1">
        <w:rPr>
          <w:rFonts w:ascii="Century Schoolbook" w:hAnsi="Century Schoolbook"/>
          <w:sz w:val="24"/>
          <w:szCs w:val="24"/>
        </w:rPr>
        <w:t>….</w:t>
      </w:r>
      <w:r w:rsidR="00610156">
        <w:rPr>
          <w:rFonts w:ascii="Century Schoolbook" w:hAnsi="Century Schoolbook"/>
          <w:sz w:val="24"/>
          <w:szCs w:val="24"/>
        </w:rPr>
        <w:t xml:space="preserve"> [</w:t>
      </w:r>
      <w:r w:rsidR="00016696">
        <w:rPr>
          <w:rFonts w:ascii="Century Schoolbook" w:hAnsi="Century Schoolbook"/>
          <w:sz w:val="24"/>
          <w:szCs w:val="24"/>
        </w:rPr>
        <w:t>M</w:t>
      </w:r>
      <w:r w:rsidR="00610156">
        <w:rPr>
          <w:rFonts w:ascii="Century Schoolbook" w:hAnsi="Century Schoolbook"/>
          <w:sz w:val="24"/>
          <w:szCs w:val="24"/>
        </w:rPr>
        <w:t xml:space="preserve">aterial </w:t>
      </w:r>
      <w:r w:rsidR="00016696">
        <w:rPr>
          <w:rFonts w:ascii="Century Schoolbook" w:hAnsi="Century Schoolbook"/>
          <w:sz w:val="24"/>
          <w:szCs w:val="24"/>
        </w:rPr>
        <w:t xml:space="preserve">omitted </w:t>
      </w:r>
      <w:r w:rsidR="00610156">
        <w:rPr>
          <w:rFonts w:ascii="Century Schoolbook" w:hAnsi="Century Schoolbook"/>
          <w:sz w:val="24"/>
          <w:szCs w:val="24"/>
        </w:rPr>
        <w:t>from 2014 MDL Standards and Best Practices.]</w:t>
      </w:r>
    </w:p>
    <w:p w:rsidR="00610156" w:rsidRPr="004A00C1" w:rsidRDefault="00CA3C6F" w:rsidP="00610156">
      <w:pPr>
        <w:tabs>
          <w:tab w:val="left" w:pos="1800"/>
        </w:tabs>
        <w:spacing w:before="120"/>
        <w:ind w:left="720" w:right="720"/>
        <w:jc w:val="both"/>
        <w:rPr>
          <w:rFonts w:ascii="Century Schoolbook" w:hAnsi="Century Schoolbook"/>
          <w:sz w:val="24"/>
          <w:szCs w:val="24"/>
        </w:rPr>
      </w:pPr>
      <w:r w:rsidRPr="004A00C1">
        <w:rPr>
          <w:rFonts w:ascii="Century Schoolbook" w:hAnsi="Century Schoolbook"/>
          <w:b/>
          <w:smallCaps/>
          <w:sz w:val="24"/>
          <w:szCs w:val="24"/>
        </w:rPr>
        <w:t>MDL STANDARD 1:</w:t>
      </w:r>
      <w:r w:rsidRPr="004A00C1">
        <w:rPr>
          <w:rFonts w:ascii="Century Schoolbook" w:hAnsi="Century Schoolbook"/>
          <w:b/>
          <w:sz w:val="24"/>
          <w:szCs w:val="24"/>
        </w:rPr>
        <w:t xml:space="preserve"> </w:t>
      </w:r>
      <w:r w:rsidRPr="004A00C1">
        <w:rPr>
          <w:rFonts w:ascii="Century Schoolbook" w:hAnsi="Century Schoolbook"/>
          <w:sz w:val="24"/>
          <w:szCs w:val="24"/>
        </w:rPr>
        <w:t>The transferee court, in consultation with the parties, should articulate clear objectives for the MDL proceeding and a plan for pursuing them. The objectives of an MDL proceeding should usually include: (1) the elimination of duplicative discovery; (2) avoiding conflicting rulings and schedules among courts; (3) reducing litigation costs; (4) saving the time and effort of the parties, attorneys, witnesses, and courts; (5) streamlining key issues; and (6) moving cases toward resolution (by trial, motion practice, or settlement).</w:t>
      </w:r>
    </w:p>
    <w:p w:rsidR="00610156" w:rsidRPr="004A00C1" w:rsidRDefault="00CA3C6F" w:rsidP="00610156">
      <w:pPr>
        <w:tabs>
          <w:tab w:val="left" w:pos="1800"/>
        </w:tabs>
        <w:spacing w:before="120"/>
        <w:ind w:left="720" w:right="720"/>
        <w:rPr>
          <w:rFonts w:ascii="Century Schoolbook" w:hAnsi="Century Schoolbook"/>
          <w:sz w:val="24"/>
          <w:szCs w:val="24"/>
        </w:rPr>
      </w:pPr>
      <w:r w:rsidRPr="004A00C1">
        <w:rPr>
          <w:rFonts w:ascii="Century Schoolbook" w:hAnsi="Century Schoolbook"/>
          <w:sz w:val="24"/>
          <w:szCs w:val="24"/>
        </w:rPr>
        <w:t>….</w:t>
      </w:r>
      <w:r w:rsidR="00610156">
        <w:rPr>
          <w:rFonts w:ascii="Century Schoolbook" w:hAnsi="Century Schoolbook"/>
          <w:sz w:val="24"/>
          <w:szCs w:val="24"/>
        </w:rPr>
        <w:t xml:space="preserve"> [</w:t>
      </w:r>
      <w:r w:rsidR="00016696">
        <w:rPr>
          <w:rFonts w:ascii="Century Schoolbook" w:hAnsi="Century Schoolbook"/>
          <w:sz w:val="24"/>
          <w:szCs w:val="24"/>
        </w:rPr>
        <w:t>Material o</w:t>
      </w:r>
      <w:r w:rsidR="00610156">
        <w:rPr>
          <w:rFonts w:ascii="Century Schoolbook" w:hAnsi="Century Schoolbook"/>
          <w:sz w:val="24"/>
          <w:szCs w:val="24"/>
        </w:rPr>
        <w:t>mitted from 2014 MDL Standards and Best Practices.]</w:t>
      </w:r>
    </w:p>
    <w:p w:rsidR="00610156" w:rsidRPr="004A00C1" w:rsidRDefault="00610156" w:rsidP="00610156">
      <w:pPr>
        <w:spacing w:after="120"/>
        <w:ind w:left="720" w:right="720"/>
        <w:jc w:val="both"/>
        <w:rPr>
          <w:rFonts w:ascii="Century Schoolbook" w:hAnsi="Century Schoolbook"/>
          <w:sz w:val="24"/>
          <w:szCs w:val="24"/>
        </w:rPr>
      </w:pPr>
    </w:p>
    <w:p w:rsidR="00610156" w:rsidRPr="004A00C1" w:rsidRDefault="00CA3C6F" w:rsidP="00610156">
      <w:pPr>
        <w:spacing w:after="120"/>
        <w:ind w:left="720" w:right="720"/>
        <w:jc w:val="both"/>
        <w:rPr>
          <w:rFonts w:ascii="Century Schoolbook" w:hAnsi="Century Schoolbook"/>
          <w:sz w:val="24"/>
          <w:szCs w:val="24"/>
        </w:rPr>
      </w:pPr>
      <w:r w:rsidRPr="004A00C1">
        <w:rPr>
          <w:rFonts w:ascii="Century Schoolbook" w:hAnsi="Century Schoolbook"/>
          <w:smallCaps/>
          <w:sz w:val="24"/>
          <w:szCs w:val="24"/>
        </w:rPr>
        <w:t>Best Practice 1C</w:t>
      </w:r>
      <w:r w:rsidRPr="004A00C1">
        <w:rPr>
          <w:rFonts w:ascii="Century Schoolbook" w:hAnsi="Century Schoolbook"/>
          <w:sz w:val="24"/>
          <w:szCs w:val="24"/>
        </w:rPr>
        <w:t>: At an early juncture, the parties and the transferee judge should collaboratively develop a discovery plan.</w:t>
      </w:r>
    </w:p>
    <w:p w:rsidR="00610156" w:rsidRPr="004A00C1" w:rsidRDefault="00CA3C6F" w:rsidP="00610156">
      <w:pPr>
        <w:tabs>
          <w:tab w:val="left" w:pos="1800"/>
        </w:tabs>
        <w:spacing w:before="120"/>
        <w:ind w:left="720" w:right="720"/>
        <w:rPr>
          <w:rFonts w:ascii="Century Schoolbook" w:hAnsi="Century Schoolbook"/>
          <w:sz w:val="24"/>
          <w:szCs w:val="24"/>
        </w:rPr>
      </w:pPr>
      <w:r w:rsidRPr="004A00C1">
        <w:rPr>
          <w:rFonts w:ascii="Century Schoolbook" w:hAnsi="Century Schoolbook"/>
          <w:sz w:val="24"/>
          <w:szCs w:val="24"/>
        </w:rPr>
        <w:t>….</w:t>
      </w:r>
      <w:r w:rsidR="00610156">
        <w:rPr>
          <w:rFonts w:ascii="Century Schoolbook" w:hAnsi="Century Schoolbook"/>
          <w:sz w:val="24"/>
          <w:szCs w:val="24"/>
        </w:rPr>
        <w:t xml:space="preserve"> [</w:t>
      </w:r>
      <w:r w:rsidR="00016696">
        <w:rPr>
          <w:rFonts w:ascii="Century Schoolbook" w:hAnsi="Century Schoolbook"/>
          <w:sz w:val="24"/>
          <w:szCs w:val="24"/>
        </w:rPr>
        <w:t>Material o</w:t>
      </w:r>
      <w:r w:rsidR="00610156">
        <w:rPr>
          <w:rFonts w:ascii="Century Schoolbook" w:hAnsi="Century Schoolbook"/>
          <w:sz w:val="24"/>
          <w:szCs w:val="24"/>
        </w:rPr>
        <w:t>mitted from 2014 MDL Standards and Best Practices.]</w:t>
      </w:r>
    </w:p>
    <w:p w:rsidR="00610156" w:rsidRPr="004A00C1" w:rsidRDefault="00610156" w:rsidP="00610156">
      <w:pPr>
        <w:spacing w:after="120"/>
        <w:ind w:left="720" w:right="720"/>
        <w:jc w:val="both"/>
        <w:rPr>
          <w:rFonts w:ascii="Century Schoolbook" w:hAnsi="Century Schoolbook"/>
          <w:sz w:val="24"/>
          <w:szCs w:val="24"/>
        </w:rPr>
      </w:pPr>
    </w:p>
    <w:p w:rsidR="00610156" w:rsidRDefault="00CA3C6F" w:rsidP="00610156">
      <w:pPr>
        <w:ind w:left="720" w:right="720"/>
        <w:jc w:val="both"/>
        <w:rPr>
          <w:rFonts w:ascii="Century Schoolbook" w:hAnsi="Century Schoolbook"/>
          <w:sz w:val="24"/>
          <w:szCs w:val="24"/>
        </w:rPr>
      </w:pPr>
      <w:r w:rsidRPr="004A00C1">
        <w:rPr>
          <w:rFonts w:ascii="Century Schoolbook" w:hAnsi="Century Schoolbook"/>
          <w:smallCaps/>
          <w:sz w:val="24"/>
          <w:szCs w:val="24"/>
        </w:rPr>
        <w:t>Best Practice 1C(</w:t>
      </w:r>
      <w:r w:rsidR="00A452B7">
        <w:rPr>
          <w:rFonts w:ascii="Century Schoolbook" w:hAnsi="Century Schoolbook"/>
          <w:sz w:val="24"/>
          <w:szCs w:val="24"/>
        </w:rPr>
        <w:t>iv</w:t>
      </w:r>
      <w:r w:rsidRPr="004A00C1">
        <w:rPr>
          <w:rFonts w:ascii="Century Schoolbook" w:hAnsi="Century Schoolbook"/>
          <w:smallCaps/>
          <w:sz w:val="24"/>
          <w:szCs w:val="24"/>
        </w:rPr>
        <w:t>)</w:t>
      </w:r>
      <w:r w:rsidRPr="004A00C1">
        <w:rPr>
          <w:rFonts w:ascii="Century Schoolbook" w:hAnsi="Century Schoolbook"/>
          <w:sz w:val="24"/>
          <w:szCs w:val="24"/>
        </w:rPr>
        <w:t xml:space="preserve">: At an early juncture, </w:t>
      </w:r>
      <w:r>
        <w:rPr>
          <w:rFonts w:ascii="Century Schoolbook" w:hAnsi="Century Schoolbook"/>
          <w:sz w:val="24"/>
          <w:szCs w:val="24"/>
        </w:rPr>
        <w:t>i</w:t>
      </w:r>
      <w:r w:rsidRPr="004A00C1">
        <w:rPr>
          <w:rFonts w:ascii="Century Schoolbook" w:hAnsi="Century Schoolbook"/>
          <w:sz w:val="24"/>
          <w:szCs w:val="24"/>
        </w:rPr>
        <w:t>ndividual claimants should be required to produce information about their claims.</w:t>
      </w:r>
    </w:p>
    <w:p w:rsidR="00610156" w:rsidRPr="004A00C1" w:rsidRDefault="00610156" w:rsidP="00610156">
      <w:pPr>
        <w:ind w:left="720" w:right="720"/>
        <w:jc w:val="both"/>
        <w:rPr>
          <w:rFonts w:ascii="Century Schoolbook" w:hAnsi="Century Schoolbook"/>
          <w:sz w:val="24"/>
          <w:szCs w:val="24"/>
        </w:rPr>
      </w:pPr>
    </w:p>
    <w:p w:rsidR="00D07328" w:rsidRDefault="00CA3C6F" w:rsidP="00610156">
      <w:pPr>
        <w:ind w:firstLine="720"/>
        <w:contextualSpacing/>
        <w:rPr>
          <w:rFonts w:ascii="Century Schoolbook" w:hAnsi="Century Schoolbook"/>
          <w:sz w:val="24"/>
          <w:szCs w:val="24"/>
        </w:rPr>
      </w:pPr>
      <w:r w:rsidRPr="004A00C1">
        <w:rPr>
          <w:rFonts w:ascii="Century Schoolbook" w:hAnsi="Century Schoolbook"/>
          <w:sz w:val="24"/>
          <w:szCs w:val="24"/>
        </w:rPr>
        <w:t xml:space="preserve">In non-MDL cases, plaintiffs </w:t>
      </w:r>
      <w:r w:rsidRPr="00573FA5">
        <w:rPr>
          <w:rFonts w:ascii="Century Schoolbook" w:hAnsi="Century Schoolbook"/>
          <w:sz w:val="24"/>
          <w:szCs w:val="24"/>
        </w:rPr>
        <w:t xml:space="preserve">are required to produce information about their claims from the outset, and that </w:t>
      </w:r>
      <w:r>
        <w:rPr>
          <w:rFonts w:ascii="Century Schoolbook" w:hAnsi="Century Schoolbook"/>
          <w:sz w:val="24"/>
          <w:szCs w:val="24"/>
        </w:rPr>
        <w:t>requirement</w:t>
      </w:r>
      <w:r w:rsidRPr="00573FA5">
        <w:rPr>
          <w:rFonts w:ascii="Century Schoolbook" w:hAnsi="Century Schoolbook"/>
          <w:sz w:val="24"/>
          <w:szCs w:val="24"/>
        </w:rPr>
        <w:t xml:space="preserve"> should not change simply because a claim </w:t>
      </w:r>
      <w:r>
        <w:rPr>
          <w:rFonts w:ascii="Century Schoolbook" w:hAnsi="Century Schoolbook"/>
          <w:sz w:val="24"/>
          <w:szCs w:val="24"/>
        </w:rPr>
        <w:t>becomes part of</w:t>
      </w:r>
      <w:r w:rsidRPr="00573FA5">
        <w:rPr>
          <w:rFonts w:ascii="Century Schoolbook" w:hAnsi="Century Schoolbook"/>
          <w:sz w:val="24"/>
          <w:szCs w:val="24"/>
        </w:rPr>
        <w:t xml:space="preserve"> an MDL proceeding. Such a balanced approach will ensure that both sides obtain information critical to claims or defenses. Moreover, development of plaintiffs’ individual claims is vital to the establishment of a fair and informative bellwether trial process and is indispensable to any settlement discussions in which the parties may engage. </w:t>
      </w:r>
      <w:r w:rsidR="00610156">
        <w:rPr>
          <w:rFonts w:ascii="Century Schoolbook" w:hAnsi="Century Schoolbook"/>
          <w:sz w:val="24"/>
          <w:szCs w:val="24"/>
        </w:rPr>
        <w:t>In fact, s</w:t>
      </w:r>
      <w:r w:rsidRPr="00573FA5">
        <w:rPr>
          <w:rFonts w:ascii="Century Schoolbook" w:hAnsi="Century Schoolbook"/>
          <w:sz w:val="24"/>
          <w:szCs w:val="24"/>
        </w:rPr>
        <w:t xml:space="preserve">ettlement talks are often delayed because the parties have not anticipated the </w:t>
      </w:r>
      <w:r>
        <w:rPr>
          <w:rFonts w:ascii="Century Schoolbook" w:hAnsi="Century Schoolbook"/>
          <w:sz w:val="24"/>
          <w:szCs w:val="24"/>
        </w:rPr>
        <w:t>time needed</w:t>
      </w:r>
      <w:r w:rsidRPr="00573FA5">
        <w:rPr>
          <w:rFonts w:ascii="Century Schoolbook" w:hAnsi="Century Schoolbook"/>
          <w:sz w:val="24"/>
          <w:szCs w:val="24"/>
        </w:rPr>
        <w:t xml:space="preserve"> to assemble information necessary to assess the strengths and weaknesses of the global litigation and examine the potential value of individual claims. Finally, requiring plaintiffs </w:t>
      </w:r>
      <w:r>
        <w:rPr>
          <w:rFonts w:ascii="Century Schoolbook" w:hAnsi="Century Schoolbook"/>
          <w:sz w:val="24"/>
          <w:szCs w:val="24"/>
        </w:rPr>
        <w:t xml:space="preserve">at an early juncture </w:t>
      </w:r>
      <w:r w:rsidRPr="00573FA5">
        <w:rPr>
          <w:rFonts w:ascii="Century Schoolbook" w:hAnsi="Century Schoolbook"/>
          <w:sz w:val="24"/>
          <w:szCs w:val="24"/>
        </w:rPr>
        <w:t xml:space="preserve">to produce information verifying their basic factual </w:t>
      </w:r>
    </w:p>
    <w:p w:rsidR="00610156" w:rsidRPr="00573FA5" w:rsidRDefault="00CA3C6F" w:rsidP="00D07328">
      <w:pPr>
        <w:contextualSpacing/>
        <w:rPr>
          <w:rFonts w:ascii="Century Schoolbook" w:hAnsi="Century Schoolbook"/>
          <w:sz w:val="24"/>
          <w:szCs w:val="24"/>
        </w:rPr>
      </w:pPr>
      <w:r w:rsidRPr="00573FA5">
        <w:rPr>
          <w:rFonts w:ascii="Century Schoolbook" w:hAnsi="Century Schoolbook"/>
          <w:sz w:val="24"/>
          <w:szCs w:val="24"/>
        </w:rPr>
        <w:t xml:space="preserve">allegations </w:t>
      </w:r>
      <w:r>
        <w:rPr>
          <w:rFonts w:ascii="Century Schoolbook" w:hAnsi="Century Schoolbook"/>
          <w:sz w:val="24"/>
          <w:szCs w:val="24"/>
        </w:rPr>
        <w:t>addresses</w:t>
      </w:r>
      <w:r w:rsidRPr="00573FA5">
        <w:rPr>
          <w:rFonts w:ascii="Century Schoolbook" w:hAnsi="Century Schoolbook"/>
          <w:sz w:val="24"/>
          <w:szCs w:val="24"/>
        </w:rPr>
        <w:t xml:space="preserve"> concerns that MDL proceedings invite unsubstantiated claims. </w:t>
      </w:r>
    </w:p>
    <w:p w:rsidR="00610156" w:rsidRPr="00573FA5" w:rsidRDefault="00CA3C6F" w:rsidP="00610156">
      <w:pPr>
        <w:ind w:firstLine="720"/>
        <w:contextualSpacing/>
        <w:rPr>
          <w:rFonts w:ascii="Century Schoolbook" w:hAnsi="Century Schoolbook"/>
          <w:sz w:val="24"/>
          <w:szCs w:val="24"/>
        </w:rPr>
      </w:pPr>
      <w:r>
        <w:rPr>
          <w:rFonts w:ascii="Century Schoolbook" w:hAnsi="Century Schoolbook"/>
          <w:sz w:val="24"/>
          <w:szCs w:val="24"/>
        </w:rPr>
        <w:lastRenderedPageBreak/>
        <w:t>U</w:t>
      </w:r>
      <w:r w:rsidRPr="00573FA5">
        <w:rPr>
          <w:rFonts w:ascii="Century Schoolbook" w:hAnsi="Century Schoolbook"/>
          <w:sz w:val="24"/>
          <w:szCs w:val="24"/>
        </w:rPr>
        <w:t xml:space="preserve">ntil </w:t>
      </w:r>
      <w:r>
        <w:rPr>
          <w:rFonts w:ascii="Century Schoolbook" w:hAnsi="Century Schoolbook"/>
          <w:sz w:val="24"/>
          <w:szCs w:val="24"/>
        </w:rPr>
        <w:t xml:space="preserve">the parties and the transferee court </w:t>
      </w:r>
      <w:r w:rsidRPr="00573FA5">
        <w:rPr>
          <w:rFonts w:ascii="Century Schoolbook" w:hAnsi="Century Schoolbook"/>
          <w:sz w:val="24"/>
          <w:szCs w:val="24"/>
        </w:rPr>
        <w:t>determin</w:t>
      </w:r>
      <w:r>
        <w:rPr>
          <w:rFonts w:ascii="Century Schoolbook" w:hAnsi="Century Schoolbook"/>
          <w:sz w:val="24"/>
          <w:szCs w:val="24"/>
        </w:rPr>
        <w:t>e</w:t>
      </w:r>
      <w:r w:rsidRPr="00573FA5">
        <w:rPr>
          <w:rFonts w:ascii="Century Schoolbook" w:hAnsi="Century Schoolbook"/>
          <w:sz w:val="24"/>
          <w:szCs w:val="24"/>
        </w:rPr>
        <w:t xml:space="preserve"> the process by which cases might be selected for bellwether trials (if any) in the MDL proceeding (as discussed below) or early remand to transferor courts for trials, there is </w:t>
      </w:r>
      <w:r w:rsidR="00610156">
        <w:rPr>
          <w:rFonts w:ascii="Century Schoolbook" w:hAnsi="Century Schoolbook"/>
          <w:sz w:val="24"/>
          <w:szCs w:val="24"/>
        </w:rPr>
        <w:t xml:space="preserve">ordinarily </w:t>
      </w:r>
      <w:r w:rsidRPr="00573FA5">
        <w:rPr>
          <w:rFonts w:ascii="Century Schoolbook" w:hAnsi="Century Schoolbook"/>
          <w:sz w:val="24"/>
          <w:szCs w:val="24"/>
        </w:rPr>
        <w:t xml:space="preserve">no need </w:t>
      </w:r>
      <w:r>
        <w:rPr>
          <w:rFonts w:ascii="Century Schoolbook" w:hAnsi="Century Schoolbook"/>
          <w:sz w:val="24"/>
          <w:szCs w:val="24"/>
        </w:rPr>
        <w:t>for</w:t>
      </w:r>
      <w:r w:rsidRPr="00573FA5">
        <w:rPr>
          <w:rFonts w:ascii="Century Schoolbook" w:hAnsi="Century Schoolbook"/>
          <w:sz w:val="24"/>
          <w:szCs w:val="24"/>
        </w:rPr>
        <w:t xml:space="preserve"> full case development of all cases (e.g., plaintiff depositions, case-specific expert discovery). Rather, each claimant should initially be required to engage in streamlined, cost-effective paper discovery to the maximum extent possible. </w:t>
      </w:r>
    </w:p>
    <w:p w:rsidR="00610156" w:rsidRPr="00573FA5" w:rsidRDefault="00610156" w:rsidP="00610156">
      <w:pPr>
        <w:ind w:firstLine="720"/>
        <w:contextualSpacing/>
        <w:jc w:val="both"/>
        <w:rPr>
          <w:rFonts w:ascii="Century Schoolbook" w:hAnsi="Century Schoolbook"/>
          <w:sz w:val="24"/>
          <w:szCs w:val="24"/>
        </w:rPr>
      </w:pPr>
    </w:p>
    <w:p w:rsidR="00610156" w:rsidRPr="00573FA5" w:rsidRDefault="00CA3C6F" w:rsidP="00610156">
      <w:pPr>
        <w:ind w:left="720" w:right="720"/>
        <w:contextualSpacing/>
        <w:jc w:val="both"/>
        <w:rPr>
          <w:rFonts w:ascii="Century Schoolbook" w:hAnsi="Century Schoolbook"/>
          <w:smallCaps/>
          <w:sz w:val="24"/>
          <w:szCs w:val="24"/>
        </w:rPr>
      </w:pPr>
      <w:r w:rsidRPr="00573FA5">
        <w:rPr>
          <w:rFonts w:ascii="Century Schoolbook" w:hAnsi="Century Schoolbook"/>
          <w:smallCaps/>
          <w:sz w:val="24"/>
          <w:szCs w:val="24"/>
        </w:rPr>
        <w:t>Best Practice 1C(</w:t>
      </w:r>
      <w:r w:rsidRPr="00A452B7">
        <w:rPr>
          <w:rFonts w:ascii="Century Schoolbook" w:hAnsi="Century Schoolbook"/>
          <w:sz w:val="24"/>
          <w:szCs w:val="24"/>
        </w:rPr>
        <w:t>v</w:t>
      </w:r>
      <w:r w:rsidRPr="00573FA5">
        <w:rPr>
          <w:rFonts w:ascii="Century Schoolbook" w:hAnsi="Century Schoolbook"/>
          <w:smallCaps/>
          <w:sz w:val="24"/>
          <w:szCs w:val="24"/>
        </w:rPr>
        <w:t xml:space="preserve">): </w:t>
      </w:r>
      <w:r w:rsidRPr="004A00C1">
        <w:rPr>
          <w:rFonts w:ascii="Century Schoolbook" w:hAnsi="Century Schoolbook"/>
          <w:sz w:val="24"/>
          <w:szCs w:val="24"/>
        </w:rPr>
        <w:t>In large mass-tort MDLs, a court should, on the parties’ request, consider issuing a case management order approving plaintiff and defendant fact sheets, which can provide</w:t>
      </w:r>
      <w:r w:rsidR="00610156">
        <w:rPr>
          <w:rFonts w:ascii="Century Schoolbook" w:hAnsi="Century Schoolbook"/>
          <w:sz w:val="24"/>
          <w:szCs w:val="24"/>
        </w:rPr>
        <w:t xml:space="preserve"> information useful for case management, relevant to selecting bellwether trials, and valuable for conducting settlement negotiations</w:t>
      </w:r>
      <w:r w:rsidRPr="004A00C1">
        <w:rPr>
          <w:rFonts w:ascii="Century Schoolbook" w:hAnsi="Century Schoolbook"/>
          <w:sz w:val="24"/>
          <w:szCs w:val="24"/>
        </w:rPr>
        <w:t>.  Fact sheets also help to uncover cases that should not have been centralized in the first instance.</w:t>
      </w:r>
      <w:r w:rsidRPr="00573FA5">
        <w:rPr>
          <w:rFonts w:ascii="Century Schoolbook" w:hAnsi="Century Schoolbook"/>
          <w:smallCaps/>
          <w:sz w:val="24"/>
          <w:szCs w:val="24"/>
        </w:rPr>
        <w:t xml:space="preserve"> </w:t>
      </w:r>
    </w:p>
    <w:p w:rsidR="00610156" w:rsidRPr="00573FA5" w:rsidRDefault="00610156" w:rsidP="00610156">
      <w:pPr>
        <w:ind w:left="720" w:right="720"/>
        <w:contextualSpacing/>
        <w:jc w:val="both"/>
        <w:rPr>
          <w:rFonts w:ascii="Century Schoolbook" w:hAnsi="Century Schoolbook"/>
          <w:sz w:val="24"/>
          <w:szCs w:val="24"/>
        </w:rPr>
      </w:pPr>
    </w:p>
    <w:p w:rsidR="00610156" w:rsidRPr="00573FA5" w:rsidRDefault="00CA3C6F" w:rsidP="00610156">
      <w:pPr>
        <w:pStyle w:val="20sp1"/>
        <w:spacing w:after="0" w:line="240" w:lineRule="auto"/>
        <w:ind w:firstLine="720"/>
        <w:contextualSpacing/>
        <w:rPr>
          <w:rFonts w:ascii="Century Schoolbook" w:hAnsi="Century Schoolbook"/>
          <w:szCs w:val="24"/>
        </w:rPr>
      </w:pPr>
      <w:r>
        <w:rPr>
          <w:rFonts w:ascii="Century Schoolbook" w:hAnsi="Century Schoolbook"/>
          <w:szCs w:val="24"/>
        </w:rPr>
        <w:t>Fact sheets are o</w:t>
      </w:r>
      <w:r w:rsidRPr="00573FA5">
        <w:rPr>
          <w:rFonts w:ascii="Century Schoolbook" w:hAnsi="Century Schoolbook"/>
          <w:szCs w:val="24"/>
        </w:rPr>
        <w:t xml:space="preserve">ne of the most useful and efficient initial mechanisms for obtaining individual discovery in large mass-tort MDLs. </w:t>
      </w:r>
      <w:r>
        <w:rPr>
          <w:rFonts w:ascii="Century Schoolbook" w:hAnsi="Century Schoolbook"/>
          <w:szCs w:val="24"/>
        </w:rPr>
        <w:t>These</w:t>
      </w:r>
      <w:r w:rsidRPr="00573FA5">
        <w:rPr>
          <w:rFonts w:ascii="Century Schoolbook" w:hAnsi="Century Schoolbook"/>
          <w:szCs w:val="24"/>
        </w:rPr>
        <w:t xml:space="preserve"> are court-approved, standardized forms that seek basic information about plaintiffs’ claims and defendants’ knowledge about aspects of those claims — for example, what injury </w:t>
      </w:r>
      <w:r>
        <w:rPr>
          <w:rFonts w:ascii="Century Schoolbook" w:hAnsi="Century Schoolbook"/>
          <w:szCs w:val="24"/>
        </w:rPr>
        <w:t>a</w:t>
      </w:r>
      <w:r w:rsidRPr="00573FA5">
        <w:rPr>
          <w:rFonts w:ascii="Century Schoolbook" w:hAnsi="Century Schoolbook"/>
          <w:szCs w:val="24"/>
        </w:rPr>
        <w:t xml:space="preserve"> plaintiff </w:t>
      </w:r>
      <w:r>
        <w:rPr>
          <w:rFonts w:ascii="Century Schoolbook" w:hAnsi="Century Schoolbook"/>
          <w:szCs w:val="24"/>
        </w:rPr>
        <w:t xml:space="preserve">claims to have </w:t>
      </w:r>
      <w:r w:rsidRPr="00573FA5">
        <w:rPr>
          <w:rFonts w:ascii="Century Schoolbook" w:hAnsi="Century Schoolbook"/>
          <w:szCs w:val="24"/>
        </w:rPr>
        <w:t>sustained as a result of using the product</w:t>
      </w:r>
      <w:r>
        <w:rPr>
          <w:rFonts w:ascii="Century Schoolbook" w:hAnsi="Century Schoolbook"/>
          <w:szCs w:val="24"/>
        </w:rPr>
        <w:t>,</w:t>
      </w:r>
      <w:r w:rsidRPr="00573FA5">
        <w:rPr>
          <w:rFonts w:ascii="Century Schoolbook" w:hAnsi="Century Schoolbook"/>
          <w:szCs w:val="24"/>
        </w:rPr>
        <w:t xml:space="preserve"> </w:t>
      </w:r>
      <w:r>
        <w:rPr>
          <w:rFonts w:ascii="Century Schoolbook" w:hAnsi="Century Schoolbook"/>
          <w:szCs w:val="24"/>
        </w:rPr>
        <w:t xml:space="preserve">or a </w:t>
      </w:r>
      <w:r w:rsidRPr="00573FA5">
        <w:rPr>
          <w:rFonts w:ascii="Century Schoolbook" w:hAnsi="Century Schoolbook"/>
          <w:szCs w:val="24"/>
        </w:rPr>
        <w:t>defendant’s representative’s contacts with providers of allegedly harmful pharmaceuticals. Plaintiff fact sheets spare defendants the expense of tailoring countless interrogatories to individual claimants</w:t>
      </w:r>
      <w:r>
        <w:rPr>
          <w:rStyle w:val="FootnoteReference"/>
          <w:rFonts w:ascii="Century Schoolbook" w:hAnsi="Century Schoolbook"/>
          <w:szCs w:val="24"/>
        </w:rPr>
        <w:footnoteReference w:id="1"/>
      </w:r>
      <w:r w:rsidRPr="00573FA5">
        <w:rPr>
          <w:rFonts w:ascii="Century Schoolbook" w:hAnsi="Century Schoolbook"/>
          <w:szCs w:val="24"/>
        </w:rPr>
        <w:t xml:space="preserve"> while allowing plaintiffs’ attorneys to fulfill early discovery obligations with relative ease. It is also common in mass-tort MDL proceedings for the parties to negotiate (and for the court to approve) defendant fact sheets.</w:t>
      </w:r>
      <w:r>
        <w:rPr>
          <w:rStyle w:val="FootnoteReference"/>
          <w:rFonts w:ascii="Century Schoolbook" w:hAnsi="Century Schoolbook"/>
          <w:szCs w:val="24"/>
        </w:rPr>
        <w:footnoteReference w:id="2"/>
      </w:r>
      <w:r w:rsidRPr="00573FA5">
        <w:rPr>
          <w:rFonts w:ascii="Century Schoolbook" w:hAnsi="Century Schoolbook"/>
          <w:szCs w:val="24"/>
        </w:rPr>
        <w:t xml:space="preserve"> However, fact sheets will be meaningful only if plaintiffs, defendants, and their counsel devote appropriate time and attention to this project. </w:t>
      </w:r>
      <w:r>
        <w:rPr>
          <w:rFonts w:ascii="Century Schoolbook" w:hAnsi="Century Schoolbook"/>
          <w:szCs w:val="24"/>
        </w:rPr>
        <w:t>F</w:t>
      </w:r>
      <w:r w:rsidRPr="00573FA5">
        <w:rPr>
          <w:rFonts w:ascii="Century Schoolbook" w:hAnsi="Century Schoolbook"/>
          <w:szCs w:val="24"/>
        </w:rPr>
        <w:t xml:space="preserve">act sheets should be deemed a form of discovery governed by the relevant Federal Rules of Civil Procedure, requiring the same level of completeness and verification. </w:t>
      </w:r>
    </w:p>
    <w:p w:rsidR="00610156" w:rsidRPr="00573FA5" w:rsidRDefault="00610156" w:rsidP="00610156">
      <w:pPr>
        <w:pStyle w:val="20sp1"/>
        <w:spacing w:after="0" w:line="240" w:lineRule="auto"/>
        <w:ind w:firstLine="720"/>
        <w:contextualSpacing/>
        <w:jc w:val="both"/>
        <w:rPr>
          <w:rFonts w:ascii="Century Schoolbook" w:hAnsi="Century Schoolbook"/>
          <w:szCs w:val="24"/>
        </w:rPr>
      </w:pPr>
    </w:p>
    <w:p w:rsidR="00610156" w:rsidRDefault="00CA3C6F" w:rsidP="00610156">
      <w:pPr>
        <w:ind w:firstLine="720"/>
        <w:contextualSpacing/>
        <w:rPr>
          <w:rFonts w:ascii="Century Schoolbook" w:hAnsi="Century Schoolbook"/>
          <w:sz w:val="24"/>
          <w:szCs w:val="24"/>
        </w:rPr>
      </w:pPr>
      <w:r w:rsidRPr="00573FA5">
        <w:rPr>
          <w:rFonts w:ascii="Century Schoolbook" w:hAnsi="Century Schoolbook"/>
          <w:sz w:val="24"/>
          <w:szCs w:val="24"/>
        </w:rPr>
        <w:t xml:space="preserve">Fact sheets can serve multiple purposes. The parties and court should give careful consideration to the purpose plaintiff and defense fact sheets </w:t>
      </w:r>
      <w:r>
        <w:rPr>
          <w:rFonts w:ascii="Century Schoolbook" w:hAnsi="Century Schoolbook"/>
          <w:sz w:val="24"/>
          <w:szCs w:val="24"/>
        </w:rPr>
        <w:t xml:space="preserve">are to serve </w:t>
      </w:r>
      <w:r w:rsidRPr="00573FA5">
        <w:rPr>
          <w:rFonts w:ascii="Century Schoolbook" w:hAnsi="Century Schoolbook"/>
          <w:sz w:val="24"/>
          <w:szCs w:val="24"/>
        </w:rPr>
        <w:t xml:space="preserve">in their MDL, given the needs of the litigation. </w:t>
      </w:r>
      <w:r>
        <w:rPr>
          <w:rFonts w:ascii="Century Schoolbook" w:hAnsi="Century Schoolbook"/>
          <w:sz w:val="24"/>
          <w:szCs w:val="24"/>
        </w:rPr>
        <w:t>F</w:t>
      </w:r>
      <w:r w:rsidRPr="00573FA5">
        <w:rPr>
          <w:rFonts w:ascii="Century Schoolbook" w:hAnsi="Century Schoolbook"/>
          <w:sz w:val="24"/>
          <w:szCs w:val="24"/>
        </w:rPr>
        <w:t>act sheets sharpen assessments of the propriety and focus of a bellwether process</w:t>
      </w:r>
      <w:r>
        <w:rPr>
          <w:rFonts w:ascii="Century Schoolbook" w:hAnsi="Century Schoolbook"/>
          <w:sz w:val="24"/>
          <w:szCs w:val="24"/>
        </w:rPr>
        <w:t xml:space="preserve">. They </w:t>
      </w:r>
      <w:r w:rsidR="00610156">
        <w:rPr>
          <w:rFonts w:ascii="Century Schoolbook" w:hAnsi="Century Schoolbook"/>
          <w:sz w:val="24"/>
          <w:szCs w:val="24"/>
        </w:rPr>
        <w:t>also</w:t>
      </w:r>
      <w:r w:rsidR="00610156" w:rsidRPr="00573FA5">
        <w:rPr>
          <w:rFonts w:ascii="Century Schoolbook" w:hAnsi="Century Schoolbook"/>
          <w:sz w:val="24"/>
          <w:szCs w:val="24"/>
        </w:rPr>
        <w:t xml:space="preserve"> </w:t>
      </w:r>
      <w:r w:rsidRPr="00573FA5">
        <w:rPr>
          <w:rFonts w:ascii="Century Schoolbook" w:hAnsi="Century Schoolbook"/>
          <w:sz w:val="24"/>
          <w:szCs w:val="24"/>
        </w:rPr>
        <w:t xml:space="preserve">can provide an efficient mechanism to assist the parties and the court in assessing whether certain claims </w:t>
      </w:r>
      <w:r w:rsidRPr="00573FA5">
        <w:rPr>
          <w:rFonts w:ascii="Century Schoolbook" w:hAnsi="Century Schoolbook"/>
          <w:sz w:val="24"/>
          <w:szCs w:val="24"/>
        </w:rPr>
        <w:lastRenderedPageBreak/>
        <w:t xml:space="preserve">may be candidates for expedited resolution through voluntary withdrawal, dispositive motions, or through a settlement process.  </w:t>
      </w:r>
    </w:p>
    <w:p w:rsidR="00610156" w:rsidRPr="00573FA5" w:rsidRDefault="00610156" w:rsidP="00610156">
      <w:pPr>
        <w:ind w:firstLine="720"/>
        <w:contextualSpacing/>
        <w:rPr>
          <w:rFonts w:ascii="Century Schoolbook" w:hAnsi="Century Schoolbook"/>
          <w:sz w:val="24"/>
          <w:szCs w:val="24"/>
        </w:rPr>
      </w:pPr>
    </w:p>
    <w:p w:rsidR="00610156" w:rsidRPr="00573FA5" w:rsidRDefault="00CA3C6F" w:rsidP="00610156">
      <w:pPr>
        <w:ind w:firstLine="720"/>
        <w:contextualSpacing/>
        <w:rPr>
          <w:rFonts w:ascii="Century Schoolbook" w:hAnsi="Century Schoolbook"/>
          <w:sz w:val="24"/>
          <w:szCs w:val="24"/>
        </w:rPr>
      </w:pPr>
      <w:r w:rsidRPr="00573FA5">
        <w:rPr>
          <w:rFonts w:ascii="Century Schoolbook" w:hAnsi="Century Schoolbook"/>
          <w:sz w:val="24"/>
          <w:szCs w:val="24"/>
        </w:rPr>
        <w:t xml:space="preserve">Streamlined plaintiff fact sheets (one to two pages) </w:t>
      </w:r>
      <w:r>
        <w:rPr>
          <w:rFonts w:ascii="Century Schoolbook" w:hAnsi="Century Schoolbook"/>
          <w:sz w:val="24"/>
          <w:szCs w:val="24"/>
        </w:rPr>
        <w:t xml:space="preserve">are appropriate </w:t>
      </w:r>
      <w:r w:rsidRPr="00573FA5">
        <w:rPr>
          <w:rFonts w:ascii="Century Schoolbook" w:hAnsi="Century Schoolbook"/>
          <w:sz w:val="24"/>
          <w:szCs w:val="24"/>
        </w:rPr>
        <w:t xml:space="preserve">in some MDLs to identify quickly </w:t>
      </w:r>
      <w:r w:rsidR="00610156">
        <w:rPr>
          <w:rFonts w:ascii="Century Schoolbook" w:hAnsi="Century Schoolbook"/>
          <w:sz w:val="24"/>
          <w:szCs w:val="24"/>
        </w:rPr>
        <w:t>some</w:t>
      </w:r>
      <w:r>
        <w:rPr>
          <w:rFonts w:ascii="Century Schoolbook" w:hAnsi="Century Schoolbook"/>
          <w:sz w:val="24"/>
          <w:szCs w:val="24"/>
        </w:rPr>
        <w:t xml:space="preserve"> </w:t>
      </w:r>
      <w:r w:rsidRPr="00573FA5">
        <w:rPr>
          <w:rFonts w:ascii="Century Schoolbook" w:hAnsi="Century Schoolbook"/>
          <w:sz w:val="24"/>
          <w:szCs w:val="24"/>
        </w:rPr>
        <w:t xml:space="preserve">cases that should not have been added to the cases centralized in the MDL in the first instance. In other MDLs, including large mass torts, more extensive plaintiff fact sheets (five to twenty pages) can serve a broader purpose, providing some useful information to the court and parties to inform selection of bellwether trials and settlement negotiations. If only a few core questions are required to be completed, the same fact sheet can serve both purposes. </w:t>
      </w:r>
    </w:p>
    <w:p w:rsidR="00610156" w:rsidRPr="00573FA5" w:rsidRDefault="00610156" w:rsidP="00610156">
      <w:pPr>
        <w:ind w:firstLine="720"/>
        <w:contextualSpacing/>
        <w:rPr>
          <w:rFonts w:ascii="Century Schoolbook" w:hAnsi="Century Schoolbook"/>
          <w:sz w:val="24"/>
          <w:szCs w:val="24"/>
        </w:rPr>
      </w:pPr>
    </w:p>
    <w:p w:rsidR="00610156" w:rsidRPr="00573FA5" w:rsidRDefault="00CA3C6F" w:rsidP="00610156">
      <w:pPr>
        <w:ind w:firstLine="720"/>
        <w:contextualSpacing/>
        <w:rPr>
          <w:rFonts w:ascii="Century Schoolbook" w:hAnsi="Century Schoolbook"/>
          <w:sz w:val="24"/>
          <w:szCs w:val="24"/>
        </w:rPr>
      </w:pPr>
      <w:r w:rsidRPr="00573FA5">
        <w:rPr>
          <w:rFonts w:ascii="Century Schoolbook" w:hAnsi="Century Schoolbook"/>
          <w:sz w:val="24"/>
          <w:szCs w:val="24"/>
        </w:rPr>
        <w:t xml:space="preserve">Targeted plaintiff fact sheets can be particularly useful in the largest mass-tort MDLs, </w:t>
      </w:r>
      <w:r>
        <w:rPr>
          <w:rFonts w:ascii="Century Schoolbook" w:hAnsi="Century Schoolbook"/>
          <w:sz w:val="24"/>
          <w:szCs w:val="24"/>
        </w:rPr>
        <w:t xml:space="preserve">many of </w:t>
      </w:r>
      <w:r w:rsidRPr="00573FA5">
        <w:rPr>
          <w:rFonts w:ascii="Century Schoolbook" w:hAnsi="Century Schoolbook"/>
          <w:sz w:val="24"/>
          <w:szCs w:val="24"/>
        </w:rPr>
        <w:t>which involve personal injury claims allegedly caused by pharmaceutical</w:t>
      </w:r>
      <w:r>
        <w:rPr>
          <w:rFonts w:ascii="Century Schoolbook" w:hAnsi="Century Schoolbook"/>
          <w:sz w:val="24"/>
          <w:szCs w:val="24"/>
        </w:rPr>
        <w:t>s or medical devices</w:t>
      </w:r>
      <w:r w:rsidRPr="00573FA5">
        <w:rPr>
          <w:rFonts w:ascii="Century Schoolbook" w:hAnsi="Century Schoolbook"/>
          <w:sz w:val="24"/>
          <w:szCs w:val="24"/>
        </w:rPr>
        <w:t xml:space="preserve">. In such cases, the plaintiff fact sheet should provide sufficient information to permit the parties and the court to determine: (1) product identity (if not covered in a preliminary product identification disclosure); (2) exposure, alleged injury, and any adverse consequences; (3) date of </w:t>
      </w:r>
      <w:r w:rsidR="00DC0D9B">
        <w:rPr>
          <w:rFonts w:ascii="Century Schoolbook" w:hAnsi="Century Schoolbook"/>
          <w:sz w:val="24"/>
          <w:szCs w:val="24"/>
        </w:rPr>
        <w:t xml:space="preserve">alleged </w:t>
      </w:r>
      <w:r w:rsidRPr="00573FA5">
        <w:rPr>
          <w:rFonts w:ascii="Century Schoolbook" w:hAnsi="Century Schoolbook"/>
          <w:sz w:val="24"/>
          <w:szCs w:val="24"/>
        </w:rPr>
        <w:t xml:space="preserve">injury and of notice or discovery of defendant(s)’ alleged wrongful conduct; and (4) authorizations for the release of relevant medical and pharmacy records and other relevant fact sources (such as employers, where wage-related claims are asserted). </w:t>
      </w:r>
    </w:p>
    <w:p w:rsidR="00610156" w:rsidRPr="00573FA5" w:rsidRDefault="00610156" w:rsidP="00610156">
      <w:pPr>
        <w:ind w:firstLine="720"/>
        <w:contextualSpacing/>
        <w:jc w:val="both"/>
        <w:rPr>
          <w:rFonts w:ascii="Century Schoolbook" w:hAnsi="Century Schoolbook"/>
          <w:sz w:val="24"/>
          <w:szCs w:val="24"/>
        </w:rPr>
      </w:pPr>
    </w:p>
    <w:p w:rsidR="00610156" w:rsidRPr="00573FA5" w:rsidRDefault="00CA3C6F" w:rsidP="00610156">
      <w:pPr>
        <w:ind w:firstLine="720"/>
        <w:contextualSpacing/>
        <w:rPr>
          <w:rFonts w:ascii="Century Schoolbook" w:hAnsi="Century Schoolbook"/>
          <w:sz w:val="24"/>
          <w:szCs w:val="24"/>
        </w:rPr>
      </w:pPr>
      <w:r w:rsidRPr="00573FA5">
        <w:rPr>
          <w:rFonts w:ascii="Century Schoolbook" w:hAnsi="Century Schoolbook"/>
          <w:sz w:val="24"/>
          <w:szCs w:val="24"/>
        </w:rPr>
        <w:t xml:space="preserve">Similarly, requiring the collection of plaintiffs’ medical records (in personal injury cases) or employment histories (in employment cases) is another straightforward way that a transferee judge can encourage a robust exchange of key information at a relatively early stage. This information can help defendants verify the answers provided in the fact sheets and can shed light on the potential causes of the plaintiffs’ injuries. </w:t>
      </w:r>
    </w:p>
    <w:p w:rsidR="00610156" w:rsidRPr="00573FA5" w:rsidRDefault="00610156" w:rsidP="00610156">
      <w:pPr>
        <w:ind w:firstLine="720"/>
        <w:contextualSpacing/>
        <w:rPr>
          <w:rFonts w:ascii="Century Schoolbook" w:hAnsi="Century Schoolbook"/>
          <w:sz w:val="24"/>
          <w:szCs w:val="24"/>
        </w:rPr>
      </w:pPr>
    </w:p>
    <w:p w:rsidR="00610156" w:rsidRDefault="00CA3C6F" w:rsidP="00610156">
      <w:pPr>
        <w:pStyle w:val="20sp1"/>
        <w:spacing w:after="0" w:line="240" w:lineRule="auto"/>
        <w:ind w:firstLine="720"/>
        <w:contextualSpacing/>
        <w:rPr>
          <w:rFonts w:ascii="Century Schoolbook" w:hAnsi="Century Schoolbook"/>
          <w:szCs w:val="24"/>
        </w:rPr>
      </w:pPr>
      <w:r w:rsidRPr="00573FA5">
        <w:rPr>
          <w:rFonts w:ascii="Century Schoolbook" w:hAnsi="Century Schoolbook"/>
          <w:szCs w:val="24"/>
        </w:rPr>
        <w:t xml:space="preserve">As part of the parties’ preparation and negotiation of proposed fact sheets, they should </w:t>
      </w:r>
      <w:r>
        <w:rPr>
          <w:rFonts w:ascii="Century Schoolbook" w:hAnsi="Century Schoolbook"/>
          <w:szCs w:val="24"/>
        </w:rPr>
        <w:t>create</w:t>
      </w:r>
      <w:r w:rsidRPr="00573FA5">
        <w:rPr>
          <w:rFonts w:ascii="Century Schoolbook" w:hAnsi="Century Schoolbook"/>
          <w:szCs w:val="24"/>
        </w:rPr>
        <w:t xml:space="preserve"> protocols or proposed orders governing the form and scope of authorizations and records-collection procedures. Parties should work to reach agreement on</w:t>
      </w:r>
      <w:r>
        <w:rPr>
          <w:rFonts w:ascii="Century Schoolbook" w:hAnsi="Century Schoolbook"/>
          <w:szCs w:val="24"/>
        </w:rPr>
        <w:t>,</w:t>
      </w:r>
      <w:r w:rsidRPr="00573FA5">
        <w:rPr>
          <w:rFonts w:ascii="Century Schoolbook" w:hAnsi="Century Schoolbook"/>
          <w:szCs w:val="24"/>
        </w:rPr>
        <w:t xml:space="preserve"> and </w:t>
      </w:r>
      <w:r>
        <w:rPr>
          <w:rFonts w:ascii="Century Schoolbook" w:hAnsi="Century Schoolbook"/>
          <w:szCs w:val="24"/>
        </w:rPr>
        <w:t xml:space="preserve">to </w:t>
      </w:r>
      <w:r w:rsidRPr="00573FA5">
        <w:rPr>
          <w:rFonts w:ascii="Century Schoolbook" w:hAnsi="Century Schoolbook"/>
          <w:szCs w:val="24"/>
        </w:rPr>
        <w:t>obtain court endorsement of</w:t>
      </w:r>
      <w:r>
        <w:rPr>
          <w:rFonts w:ascii="Century Schoolbook" w:hAnsi="Century Schoolbook"/>
          <w:szCs w:val="24"/>
        </w:rPr>
        <w:t>,</w:t>
      </w:r>
      <w:r w:rsidRPr="00573FA5">
        <w:rPr>
          <w:rFonts w:ascii="Century Schoolbook" w:hAnsi="Century Schoolbook"/>
          <w:szCs w:val="24"/>
        </w:rPr>
        <w:t xml:space="preserve"> authorization forms, when and how they may be used, the timeframe and subject-matter scope of permissible records collection, how records will be collected and made available, and how collection costs will be divided.</w:t>
      </w:r>
      <w:r>
        <w:rPr>
          <w:rStyle w:val="FootnoteReference"/>
          <w:rFonts w:ascii="Century Schoolbook" w:hAnsi="Century Schoolbook"/>
          <w:szCs w:val="24"/>
        </w:rPr>
        <w:footnoteReference w:id="3"/>
      </w:r>
      <w:r w:rsidRPr="00573FA5">
        <w:rPr>
          <w:rFonts w:ascii="Century Schoolbook" w:hAnsi="Century Schoolbook"/>
          <w:szCs w:val="24"/>
        </w:rPr>
        <w:t xml:space="preserve"> Addressing these issues early in an MDL facilitates uniformity and efficiency during this important early information-gathering phase and obviates unnecessary disputes and delay. </w:t>
      </w:r>
    </w:p>
    <w:p w:rsidR="007F0D90" w:rsidRDefault="007F0D90" w:rsidP="00610156">
      <w:pPr>
        <w:pStyle w:val="20sp1"/>
        <w:spacing w:after="0" w:line="240" w:lineRule="auto"/>
        <w:ind w:firstLine="720"/>
        <w:contextualSpacing/>
        <w:jc w:val="both"/>
        <w:rPr>
          <w:rFonts w:ascii="Century Schoolbook" w:hAnsi="Century Schoolbook"/>
          <w:szCs w:val="24"/>
        </w:rPr>
      </w:pPr>
    </w:p>
    <w:p w:rsidR="00DC0D9B" w:rsidRDefault="00DC0D9B" w:rsidP="00610156">
      <w:pPr>
        <w:pStyle w:val="20sp1"/>
        <w:spacing w:after="0" w:line="240" w:lineRule="auto"/>
        <w:ind w:firstLine="720"/>
        <w:contextualSpacing/>
        <w:jc w:val="both"/>
        <w:rPr>
          <w:rFonts w:ascii="Century Schoolbook" w:hAnsi="Century Schoolbook"/>
          <w:szCs w:val="24"/>
        </w:rPr>
      </w:pPr>
    </w:p>
    <w:p w:rsidR="00DC0D9B" w:rsidRDefault="00DC0D9B" w:rsidP="00610156">
      <w:pPr>
        <w:pStyle w:val="20sp1"/>
        <w:spacing w:after="0" w:line="240" w:lineRule="auto"/>
        <w:ind w:firstLine="720"/>
        <w:contextualSpacing/>
        <w:jc w:val="both"/>
        <w:rPr>
          <w:rFonts w:ascii="Century Schoolbook" w:hAnsi="Century Schoolbook"/>
          <w:szCs w:val="24"/>
        </w:rPr>
      </w:pPr>
    </w:p>
    <w:p w:rsidR="00DC0D9B" w:rsidRPr="00573FA5" w:rsidRDefault="00DC0D9B" w:rsidP="00610156">
      <w:pPr>
        <w:pStyle w:val="20sp1"/>
        <w:spacing w:after="0" w:line="240" w:lineRule="auto"/>
        <w:ind w:firstLine="720"/>
        <w:contextualSpacing/>
        <w:jc w:val="both"/>
        <w:rPr>
          <w:rFonts w:ascii="Century Schoolbook" w:hAnsi="Century Schoolbook"/>
          <w:szCs w:val="24"/>
        </w:rPr>
      </w:pPr>
    </w:p>
    <w:p w:rsidR="00610156" w:rsidRPr="004A00C1" w:rsidRDefault="00CA3C6F" w:rsidP="00610156">
      <w:pPr>
        <w:pStyle w:val="20sp1"/>
        <w:spacing w:after="0" w:line="240" w:lineRule="auto"/>
        <w:ind w:left="720" w:right="720" w:firstLine="0"/>
        <w:contextualSpacing/>
        <w:jc w:val="both"/>
        <w:rPr>
          <w:rFonts w:ascii="Century Schoolbook" w:hAnsi="Century Schoolbook"/>
          <w:szCs w:val="24"/>
        </w:rPr>
      </w:pPr>
      <w:r w:rsidRPr="00573FA5">
        <w:rPr>
          <w:rFonts w:ascii="Century Schoolbook" w:hAnsi="Century Schoolbook"/>
          <w:smallCaps/>
          <w:szCs w:val="24"/>
        </w:rPr>
        <w:lastRenderedPageBreak/>
        <w:t>Best Practice 1C(</w:t>
      </w:r>
      <w:r w:rsidRPr="00573FA5">
        <w:rPr>
          <w:rFonts w:ascii="Century Schoolbook" w:hAnsi="Century Schoolbook"/>
          <w:szCs w:val="24"/>
        </w:rPr>
        <w:t>vi</w:t>
      </w:r>
      <w:r w:rsidRPr="00573FA5">
        <w:rPr>
          <w:rFonts w:ascii="Century Schoolbook" w:hAnsi="Century Schoolbook"/>
          <w:smallCaps/>
          <w:szCs w:val="24"/>
        </w:rPr>
        <w:t>):</w:t>
      </w:r>
      <w:r w:rsidRPr="00573FA5">
        <w:rPr>
          <w:rFonts w:ascii="Century Schoolbook" w:hAnsi="Century Schoolbook"/>
          <w:szCs w:val="24"/>
        </w:rPr>
        <w:t xml:space="preserve"> </w:t>
      </w:r>
      <w:r w:rsidRPr="004A00C1">
        <w:rPr>
          <w:rFonts w:ascii="Century Schoolbook" w:hAnsi="Century Schoolbook"/>
          <w:szCs w:val="24"/>
        </w:rPr>
        <w:t xml:space="preserve">When plaintiff fact sheets are used, defendant fact sheets may serve a similarly important purpose. </w:t>
      </w:r>
    </w:p>
    <w:p w:rsidR="00610156" w:rsidRPr="00573FA5" w:rsidRDefault="00610156" w:rsidP="00610156">
      <w:pPr>
        <w:pStyle w:val="20sp1"/>
        <w:spacing w:after="0" w:line="240" w:lineRule="auto"/>
        <w:ind w:left="720" w:right="720" w:firstLine="0"/>
        <w:contextualSpacing/>
        <w:jc w:val="both"/>
        <w:rPr>
          <w:rFonts w:ascii="Century Schoolbook" w:hAnsi="Century Schoolbook"/>
          <w:szCs w:val="24"/>
        </w:rPr>
      </w:pPr>
    </w:p>
    <w:p w:rsidR="00610156" w:rsidRPr="00573FA5" w:rsidRDefault="00CA3C6F" w:rsidP="00610156">
      <w:pPr>
        <w:pStyle w:val="20sp1"/>
        <w:spacing w:after="0" w:line="240" w:lineRule="auto"/>
        <w:ind w:firstLine="720"/>
        <w:contextualSpacing/>
        <w:rPr>
          <w:rFonts w:ascii="Century Schoolbook" w:hAnsi="Century Schoolbook"/>
          <w:szCs w:val="24"/>
        </w:rPr>
      </w:pPr>
      <w:r w:rsidRPr="00573FA5">
        <w:rPr>
          <w:rFonts w:ascii="Century Schoolbook" w:hAnsi="Century Schoolbook"/>
          <w:szCs w:val="24"/>
        </w:rPr>
        <w:t xml:space="preserve">In MDLs employing a plaintiff fact sheet, the defendant may also be directed to reciprocate by providing the plaintiff with a defendant fact sheet after an agreed upon period of time. Like the content of the plaintiff fact sheet, the content of a defendant fact sheet will vary based on the claims involved in the MDL and should be negotiated by the parties to facilitate the early exchange of information. For example, if streamlined plaintiff fact sheets are agreed upon by the parties, the defendant’s fact sheet should be equally streamlined. Conversely, some large mass-tort MDLs will likely call for more extensive defendant fact sheets. The parties should also discuss the content and timing of defendant fact sheets concurrently with their discussion of plaintiff fact sheets. </w:t>
      </w:r>
    </w:p>
    <w:p w:rsidR="00610156" w:rsidRPr="00573FA5" w:rsidRDefault="00610156" w:rsidP="00610156">
      <w:pPr>
        <w:pStyle w:val="20sp1"/>
        <w:spacing w:after="0" w:line="240" w:lineRule="auto"/>
        <w:ind w:firstLine="720"/>
        <w:contextualSpacing/>
        <w:rPr>
          <w:rFonts w:ascii="Century Schoolbook" w:hAnsi="Century Schoolbook"/>
          <w:szCs w:val="24"/>
        </w:rPr>
      </w:pPr>
    </w:p>
    <w:p w:rsidR="00610156" w:rsidRPr="00573FA5" w:rsidRDefault="00CA3C6F" w:rsidP="00610156">
      <w:pPr>
        <w:pStyle w:val="20sp1"/>
        <w:spacing w:after="0" w:line="240" w:lineRule="auto"/>
        <w:ind w:firstLine="720"/>
        <w:contextualSpacing/>
        <w:rPr>
          <w:rFonts w:ascii="Century Schoolbook" w:hAnsi="Century Schoolbook"/>
          <w:szCs w:val="24"/>
        </w:rPr>
      </w:pPr>
      <w:r w:rsidRPr="00573FA5">
        <w:rPr>
          <w:rFonts w:ascii="Century Schoolbook" w:hAnsi="Century Schoolbook"/>
          <w:szCs w:val="24"/>
        </w:rPr>
        <w:t>The parties thus should consider to what extent the defendant should be required to produce fact sheets for individual plaintiffs, providing basic information the defendant may have about the claimant, her physicians (in product liability injury cases), or her claim. The utility and practicability of individualized information in defendant fact sheets depends upon a number of factors, including the nature of plaintiffs’ allegations</w:t>
      </w:r>
      <w:r>
        <w:rPr>
          <w:rFonts w:ascii="Century Schoolbook" w:hAnsi="Century Schoolbook"/>
          <w:szCs w:val="24"/>
        </w:rPr>
        <w:t>,</w:t>
      </w:r>
      <w:r w:rsidRPr="00573FA5">
        <w:rPr>
          <w:rFonts w:ascii="Century Schoolbook" w:hAnsi="Century Schoolbook"/>
          <w:szCs w:val="24"/>
        </w:rPr>
        <w:t xml:space="preserve"> the pre-suit relationship (if any) between plaintiffs and defendant, </w:t>
      </w:r>
      <w:r>
        <w:rPr>
          <w:rFonts w:ascii="Century Schoolbook" w:hAnsi="Century Schoolbook"/>
          <w:szCs w:val="24"/>
        </w:rPr>
        <w:t>any</w:t>
      </w:r>
      <w:r w:rsidRPr="00573FA5">
        <w:rPr>
          <w:rFonts w:ascii="Century Schoolbook" w:hAnsi="Century Schoolbook"/>
          <w:szCs w:val="24"/>
        </w:rPr>
        <w:t xml:space="preserve"> contacts or relationship between defendant and plaintiffs’ physicians</w:t>
      </w:r>
      <w:r>
        <w:rPr>
          <w:rFonts w:ascii="Century Schoolbook" w:hAnsi="Century Schoolbook"/>
          <w:szCs w:val="24"/>
        </w:rPr>
        <w:t xml:space="preserve">, </w:t>
      </w:r>
      <w:r w:rsidRPr="00573FA5">
        <w:rPr>
          <w:rFonts w:ascii="Century Schoolbook" w:hAnsi="Century Schoolbook"/>
          <w:szCs w:val="24"/>
        </w:rPr>
        <w:t>the likelihood of defendant possessing plaintiff-specific documents or information</w:t>
      </w:r>
      <w:r>
        <w:rPr>
          <w:rFonts w:ascii="Century Schoolbook" w:hAnsi="Century Schoolbook"/>
          <w:szCs w:val="24"/>
        </w:rPr>
        <w:t>,</w:t>
      </w:r>
      <w:r w:rsidRPr="00573FA5">
        <w:rPr>
          <w:rFonts w:ascii="Century Schoolbook" w:hAnsi="Century Schoolbook"/>
          <w:szCs w:val="24"/>
        </w:rPr>
        <w:t xml:space="preserve"> and the accessibility and potential relevance of any such documents or information. </w:t>
      </w:r>
    </w:p>
    <w:p w:rsidR="00610156" w:rsidRPr="00573FA5" w:rsidRDefault="00610156" w:rsidP="00610156">
      <w:pPr>
        <w:pStyle w:val="20sp1"/>
        <w:spacing w:after="0" w:line="240" w:lineRule="auto"/>
        <w:ind w:firstLine="720"/>
        <w:contextualSpacing/>
        <w:rPr>
          <w:rFonts w:ascii="Century Schoolbook" w:hAnsi="Century Schoolbook"/>
          <w:szCs w:val="24"/>
        </w:rPr>
      </w:pPr>
    </w:p>
    <w:p w:rsidR="00610156" w:rsidRPr="00573FA5" w:rsidRDefault="00CA3C6F" w:rsidP="00610156">
      <w:pPr>
        <w:pStyle w:val="20sp1"/>
        <w:spacing w:after="0" w:line="240" w:lineRule="auto"/>
        <w:ind w:firstLine="720"/>
        <w:contextualSpacing/>
        <w:rPr>
          <w:rFonts w:ascii="Century Schoolbook" w:hAnsi="Century Schoolbook"/>
          <w:szCs w:val="24"/>
        </w:rPr>
      </w:pPr>
      <w:r w:rsidRPr="00573FA5">
        <w:rPr>
          <w:rFonts w:ascii="Century Schoolbook" w:hAnsi="Century Schoolbook"/>
          <w:szCs w:val="24"/>
        </w:rPr>
        <w:t xml:space="preserve">In large mass-tort MDLs involving alleged harmful pharmaceuticals or medical devices, the defendant fact sheet typically would provide sufficient information regarding contacts and communications with the plaintiff’s medical provider(s), including: (1) identification of the representatives who met with or called upon such provider(s); (2) the dates of contact; (3) existence of “call notes” or similar documents that summarize the contacts with the physician(s); and (4) payments, honoraria, reimbursements, or other financial arrangements with such provider(s). </w:t>
      </w:r>
    </w:p>
    <w:p w:rsidR="00610156" w:rsidRPr="00573FA5" w:rsidRDefault="00610156" w:rsidP="00610156">
      <w:pPr>
        <w:pStyle w:val="20sp1"/>
        <w:spacing w:after="0" w:line="240" w:lineRule="auto"/>
        <w:ind w:firstLine="720"/>
        <w:contextualSpacing/>
        <w:jc w:val="both"/>
        <w:rPr>
          <w:rFonts w:ascii="Century Schoolbook" w:hAnsi="Century Schoolbook"/>
          <w:szCs w:val="24"/>
        </w:rPr>
      </w:pPr>
    </w:p>
    <w:p w:rsidR="00610156" w:rsidRPr="00573FA5" w:rsidRDefault="00CA3C6F" w:rsidP="00610156">
      <w:pPr>
        <w:ind w:left="720" w:right="720"/>
        <w:contextualSpacing/>
        <w:jc w:val="both"/>
        <w:rPr>
          <w:rFonts w:ascii="Century Schoolbook" w:hAnsi="Century Schoolbook"/>
          <w:sz w:val="24"/>
          <w:szCs w:val="24"/>
        </w:rPr>
      </w:pPr>
      <w:r w:rsidRPr="00573FA5">
        <w:rPr>
          <w:rFonts w:ascii="Century Schoolbook" w:hAnsi="Century Schoolbook"/>
          <w:smallCaps/>
          <w:sz w:val="24"/>
          <w:szCs w:val="24"/>
        </w:rPr>
        <w:t>Best Practice 1C(</w:t>
      </w:r>
      <w:r w:rsidRPr="00573FA5">
        <w:rPr>
          <w:rFonts w:ascii="Century Schoolbook" w:hAnsi="Century Schoolbook"/>
          <w:sz w:val="24"/>
          <w:szCs w:val="24"/>
        </w:rPr>
        <w:t>vii</w:t>
      </w:r>
      <w:r w:rsidRPr="00573FA5">
        <w:rPr>
          <w:rFonts w:ascii="Century Schoolbook" w:hAnsi="Century Schoolbook"/>
          <w:smallCaps/>
          <w:sz w:val="24"/>
          <w:szCs w:val="24"/>
        </w:rPr>
        <w:t>):</w:t>
      </w:r>
      <w:r w:rsidRPr="00573FA5">
        <w:rPr>
          <w:rFonts w:ascii="Century Schoolbook" w:hAnsi="Century Schoolbook"/>
          <w:sz w:val="24"/>
          <w:szCs w:val="24"/>
        </w:rPr>
        <w:t xml:space="preserve"> In large mass-tort MDLs, particularly those involving competing brands or versions of a similar pharmaceutical drug, the court should consider issuing a case management order requiring a product identification disclosure sheet </w:t>
      </w:r>
      <w:r>
        <w:rPr>
          <w:rFonts w:ascii="Century Schoolbook" w:hAnsi="Century Schoolbook"/>
          <w:sz w:val="24"/>
          <w:szCs w:val="24"/>
        </w:rPr>
        <w:t>that</w:t>
      </w:r>
      <w:r w:rsidRPr="00573FA5">
        <w:rPr>
          <w:rFonts w:ascii="Century Schoolbook" w:hAnsi="Century Schoolbook"/>
          <w:sz w:val="24"/>
          <w:szCs w:val="24"/>
        </w:rPr>
        <w:t xml:space="preserve"> quickly identif</w:t>
      </w:r>
      <w:r>
        <w:rPr>
          <w:rFonts w:ascii="Century Schoolbook" w:hAnsi="Century Schoolbook"/>
          <w:sz w:val="24"/>
          <w:szCs w:val="24"/>
        </w:rPr>
        <w:t>ies</w:t>
      </w:r>
      <w:r w:rsidRPr="00573FA5">
        <w:rPr>
          <w:rFonts w:ascii="Century Schoolbook" w:hAnsi="Century Schoolbook"/>
          <w:sz w:val="24"/>
          <w:szCs w:val="24"/>
        </w:rPr>
        <w:t xml:space="preserve"> cases that should not have been centralized in the first instance. </w:t>
      </w:r>
    </w:p>
    <w:p w:rsidR="00610156" w:rsidRPr="00573FA5" w:rsidRDefault="00610156" w:rsidP="00610156">
      <w:pPr>
        <w:ind w:left="720" w:right="720"/>
        <w:contextualSpacing/>
        <w:jc w:val="both"/>
        <w:rPr>
          <w:rFonts w:ascii="Century Schoolbook" w:hAnsi="Century Schoolbook"/>
          <w:sz w:val="24"/>
          <w:szCs w:val="24"/>
        </w:rPr>
      </w:pPr>
    </w:p>
    <w:p w:rsidR="00610156" w:rsidRPr="00573FA5" w:rsidRDefault="00CA3C6F" w:rsidP="00610156">
      <w:pPr>
        <w:ind w:firstLine="720"/>
        <w:contextualSpacing/>
        <w:rPr>
          <w:rFonts w:ascii="Century Schoolbook" w:hAnsi="Century Schoolbook" w:cstheme="minorBidi"/>
          <w:sz w:val="24"/>
          <w:szCs w:val="24"/>
        </w:rPr>
      </w:pPr>
      <w:r w:rsidRPr="00573FA5">
        <w:rPr>
          <w:rFonts w:ascii="Century Schoolbook" w:hAnsi="Century Schoolbook"/>
          <w:sz w:val="24"/>
          <w:szCs w:val="24"/>
        </w:rPr>
        <w:t>Within mature large mass-tort MDLs, a variety of case management techniques have identified individual cases that should not have been centralized in the first instance</w:t>
      </w:r>
      <w:r>
        <w:rPr>
          <w:rFonts w:ascii="Century Schoolbook" w:hAnsi="Century Schoolbook"/>
          <w:sz w:val="24"/>
          <w:szCs w:val="24"/>
        </w:rPr>
        <w:t xml:space="preserve">, </w:t>
      </w:r>
      <w:r w:rsidR="00610156">
        <w:rPr>
          <w:rFonts w:ascii="Century Schoolbook" w:hAnsi="Century Schoolbook"/>
          <w:sz w:val="24"/>
          <w:szCs w:val="24"/>
        </w:rPr>
        <w:t>sometimes</w:t>
      </w:r>
      <w:r w:rsidRPr="00573FA5">
        <w:rPr>
          <w:rFonts w:ascii="Century Schoolbook" w:hAnsi="Century Schoolbook"/>
          <w:sz w:val="24"/>
          <w:szCs w:val="24"/>
        </w:rPr>
        <w:t xml:space="preserve"> because the plaintiff did not use the product at issue in the litigation. A streamlined “product identification” verification (one to two </w:t>
      </w:r>
      <w:r w:rsidRPr="00573FA5">
        <w:rPr>
          <w:rFonts w:ascii="Century Schoolbook" w:hAnsi="Century Schoolbook"/>
          <w:sz w:val="24"/>
          <w:szCs w:val="24"/>
        </w:rPr>
        <w:lastRenderedPageBreak/>
        <w:t>pages) can be used in large mass-tort MDLs to identify quickly cases that do not belong. The order would require early verification of whether and when plaintiff used the product at issue</w:t>
      </w:r>
      <w:r w:rsidR="0010253B">
        <w:rPr>
          <w:rFonts w:ascii="Century Schoolbook" w:hAnsi="Century Schoolbook"/>
          <w:sz w:val="24"/>
          <w:szCs w:val="24"/>
        </w:rPr>
        <w:t>;</w:t>
      </w:r>
      <w:r w:rsidRPr="00573FA5">
        <w:rPr>
          <w:rFonts w:ascii="Century Schoolbook" w:hAnsi="Century Schoolbook"/>
          <w:sz w:val="24"/>
          <w:szCs w:val="24"/>
        </w:rPr>
        <w:t xml:space="preserve"> </w:t>
      </w:r>
      <w:r w:rsidR="0010253B">
        <w:rPr>
          <w:rFonts w:ascii="Century Schoolbook" w:hAnsi="Century Schoolbook"/>
          <w:sz w:val="24"/>
          <w:szCs w:val="24"/>
        </w:rPr>
        <w:t>this</w:t>
      </w:r>
      <w:r w:rsidRPr="00573FA5">
        <w:rPr>
          <w:rFonts w:ascii="Century Schoolbook" w:hAnsi="Century Schoolbook"/>
          <w:sz w:val="24"/>
          <w:szCs w:val="24"/>
        </w:rPr>
        <w:t xml:space="preserve"> verification should be relatively streamlined and not burdensome. The purpose of such a verification is not to replace a fact sheet or impose any undue burden on the plaintiff but to ensure that the individual case is properly centralized in the MDL. This technique </w:t>
      </w:r>
      <w:r>
        <w:rPr>
          <w:rFonts w:ascii="Century Schoolbook" w:hAnsi="Century Schoolbook"/>
          <w:sz w:val="24"/>
          <w:szCs w:val="24"/>
        </w:rPr>
        <w:t>can</w:t>
      </w:r>
      <w:r w:rsidRPr="00573FA5">
        <w:rPr>
          <w:rFonts w:ascii="Century Schoolbook" w:hAnsi="Century Schoolbook"/>
          <w:sz w:val="24"/>
          <w:szCs w:val="24"/>
        </w:rPr>
        <w:t xml:space="preserve"> be especially useful in large </w:t>
      </w:r>
      <w:r>
        <w:rPr>
          <w:rFonts w:ascii="Century Schoolbook" w:hAnsi="Century Schoolbook"/>
          <w:sz w:val="24"/>
          <w:szCs w:val="24"/>
        </w:rPr>
        <w:t>prescription</w:t>
      </w:r>
      <w:r w:rsidRPr="00573FA5">
        <w:rPr>
          <w:rFonts w:ascii="Century Schoolbook" w:hAnsi="Century Schoolbook"/>
          <w:sz w:val="24"/>
          <w:szCs w:val="24"/>
        </w:rPr>
        <w:t xml:space="preserve"> product MDLs in which multiple manufacturers may have produced different versions of the drug</w:t>
      </w:r>
      <w:r>
        <w:rPr>
          <w:rFonts w:ascii="Century Schoolbook" w:hAnsi="Century Schoolbook"/>
          <w:sz w:val="24"/>
          <w:szCs w:val="24"/>
        </w:rPr>
        <w:t xml:space="preserve"> or medical device</w:t>
      </w:r>
      <w:r w:rsidRPr="00573FA5">
        <w:rPr>
          <w:rFonts w:ascii="Century Schoolbook" w:hAnsi="Century Schoolbook"/>
          <w:sz w:val="24"/>
          <w:szCs w:val="24"/>
        </w:rPr>
        <w:t>. The court should consider dismissing or remanding to the transferor court those cases in which claimants are unable to provide adequate, timely verification of product usage.</w:t>
      </w:r>
    </w:p>
    <w:p w:rsidR="00610156" w:rsidRPr="00573FA5" w:rsidRDefault="00610156" w:rsidP="00610156">
      <w:pPr>
        <w:ind w:left="720" w:right="720"/>
        <w:contextualSpacing/>
        <w:jc w:val="both"/>
        <w:rPr>
          <w:rFonts w:ascii="Century Schoolbook" w:hAnsi="Century Schoolbook"/>
          <w:smallCaps/>
          <w:sz w:val="24"/>
          <w:szCs w:val="24"/>
        </w:rPr>
      </w:pPr>
    </w:p>
    <w:p w:rsidR="00610156" w:rsidRPr="00573FA5" w:rsidRDefault="00CA3C6F" w:rsidP="00610156">
      <w:pPr>
        <w:ind w:left="720" w:right="720"/>
        <w:contextualSpacing/>
        <w:jc w:val="both"/>
        <w:rPr>
          <w:rFonts w:ascii="Century Schoolbook" w:hAnsi="Century Schoolbook"/>
          <w:sz w:val="24"/>
          <w:szCs w:val="24"/>
        </w:rPr>
      </w:pPr>
      <w:r w:rsidRPr="00573FA5">
        <w:rPr>
          <w:rFonts w:ascii="Century Schoolbook" w:hAnsi="Century Schoolbook"/>
          <w:smallCaps/>
          <w:sz w:val="24"/>
          <w:szCs w:val="24"/>
        </w:rPr>
        <w:t>Best Practice 1C(</w:t>
      </w:r>
      <w:r w:rsidRPr="00573FA5">
        <w:rPr>
          <w:rFonts w:ascii="Century Schoolbook" w:hAnsi="Century Schoolbook"/>
          <w:sz w:val="24"/>
          <w:szCs w:val="24"/>
        </w:rPr>
        <w:t>viii): Standardized interrogatories may serve as an alternative to fact sheets.</w:t>
      </w:r>
    </w:p>
    <w:p w:rsidR="00610156" w:rsidRPr="00573FA5" w:rsidRDefault="00610156" w:rsidP="00610156">
      <w:pPr>
        <w:ind w:left="720" w:right="720"/>
        <w:contextualSpacing/>
        <w:jc w:val="both"/>
        <w:rPr>
          <w:rFonts w:ascii="Century Schoolbook" w:hAnsi="Century Schoolbook"/>
          <w:sz w:val="24"/>
          <w:szCs w:val="24"/>
        </w:rPr>
      </w:pPr>
    </w:p>
    <w:p w:rsidR="00610156" w:rsidRPr="00573FA5" w:rsidRDefault="00CA3C6F" w:rsidP="00610156">
      <w:pPr>
        <w:ind w:firstLine="720"/>
        <w:contextualSpacing/>
        <w:rPr>
          <w:rFonts w:ascii="Century Schoolbook" w:hAnsi="Century Schoolbook" w:cstheme="minorBidi"/>
          <w:sz w:val="24"/>
          <w:szCs w:val="24"/>
        </w:rPr>
      </w:pPr>
      <w:r w:rsidRPr="00573FA5">
        <w:rPr>
          <w:rFonts w:ascii="Century Schoolbook" w:hAnsi="Century Schoolbook"/>
          <w:sz w:val="24"/>
          <w:szCs w:val="24"/>
        </w:rPr>
        <w:t>An alternative to fact sheets is standardized interrogatories or document requests, which are less costly and onerous than individually-tailored interrogatories and document requests. Standard document requests can also be included within or annexed to a form fact sheet. In personal injury product liability MDLs, requiring plaintiffs to produce documents that demonstrate proof of product use and injury can help the parties and court focus resources on viable cases.</w:t>
      </w:r>
      <w:r>
        <w:rPr>
          <w:rStyle w:val="FootnoteReference"/>
          <w:rFonts w:ascii="Century Schoolbook" w:hAnsi="Century Schoolbook"/>
          <w:sz w:val="24"/>
          <w:szCs w:val="24"/>
        </w:rPr>
        <w:footnoteReference w:id="4"/>
      </w:r>
      <w:r w:rsidRPr="00573FA5">
        <w:rPr>
          <w:rFonts w:ascii="Century Schoolbook" w:hAnsi="Century Schoolbook"/>
          <w:sz w:val="24"/>
          <w:szCs w:val="24"/>
        </w:rPr>
        <w:t xml:space="preserve"> </w:t>
      </w:r>
    </w:p>
    <w:p w:rsidR="00610156" w:rsidRDefault="00610156" w:rsidP="00610156">
      <w:pPr>
        <w:ind w:firstLine="720"/>
        <w:contextualSpacing/>
        <w:rPr>
          <w:rFonts w:ascii="Century Schoolbook" w:hAnsi="Century Schoolbook"/>
          <w:sz w:val="24"/>
          <w:szCs w:val="24"/>
        </w:rPr>
      </w:pPr>
    </w:p>
    <w:p w:rsidR="00610156" w:rsidRPr="00573FA5" w:rsidRDefault="00CA3C6F" w:rsidP="00610156">
      <w:pPr>
        <w:ind w:firstLine="720"/>
        <w:contextualSpacing/>
        <w:rPr>
          <w:rFonts w:ascii="Century Schoolbook" w:hAnsi="Century Schoolbook"/>
          <w:sz w:val="24"/>
          <w:szCs w:val="24"/>
        </w:rPr>
      </w:pPr>
      <w:r w:rsidRPr="00573FA5">
        <w:rPr>
          <w:rFonts w:ascii="Century Schoolbook" w:hAnsi="Century Schoolbook"/>
          <w:sz w:val="24"/>
          <w:szCs w:val="24"/>
        </w:rPr>
        <w:t xml:space="preserve">Especially as a proceeding matures, the transferee judge may consider the entry of </w:t>
      </w:r>
      <w:r w:rsidRPr="00573FA5">
        <w:rPr>
          <w:rFonts w:ascii="Century Schoolbook" w:hAnsi="Century Schoolbook"/>
          <w:i/>
          <w:sz w:val="24"/>
          <w:szCs w:val="24"/>
        </w:rPr>
        <w:t>Lone Pine</w:t>
      </w:r>
      <w:r w:rsidRPr="00573FA5">
        <w:rPr>
          <w:rFonts w:ascii="Century Schoolbook" w:hAnsi="Century Schoolbook"/>
          <w:sz w:val="24"/>
          <w:szCs w:val="24"/>
        </w:rPr>
        <w:t xml:space="preserve"> orders requiring all plaintiffs to submit an affidavit of support from an independent physician.</w:t>
      </w:r>
      <w:bookmarkStart w:id="0" w:name="_Ref380665570"/>
      <w:r>
        <w:rPr>
          <w:rStyle w:val="FootnoteReference"/>
          <w:rFonts w:ascii="Century Schoolbook" w:hAnsi="Century Schoolbook"/>
          <w:sz w:val="24"/>
          <w:szCs w:val="24"/>
        </w:rPr>
        <w:footnoteReference w:id="5"/>
      </w:r>
      <w:bookmarkEnd w:id="0"/>
      <w:r w:rsidRPr="00573FA5">
        <w:rPr>
          <w:rFonts w:ascii="Century Schoolbook" w:hAnsi="Century Schoolbook"/>
          <w:sz w:val="24"/>
          <w:szCs w:val="24"/>
        </w:rPr>
        <w:t xml:space="preserve"> These orders are particularly important in an MDL proceeding involving disparate theories of causation — or where multiple alternative potential causes of the alleged injuries exist. In some MDL proceedings, courts have required defendants to prepare fact sheets for each plaintiff that provide basic information they may have about the claimant or their claim. </w:t>
      </w:r>
      <w:r w:rsidRPr="00573FA5">
        <w:rPr>
          <w:rFonts w:ascii="Century Schoolbook" w:hAnsi="Century Schoolbook"/>
          <w:sz w:val="24"/>
          <w:szCs w:val="24"/>
        </w:rPr>
        <w:lastRenderedPageBreak/>
        <w:t xml:space="preserve">Typically, this step is required only after a plaintiff has completed a fact sheet. </w:t>
      </w:r>
    </w:p>
    <w:p w:rsidR="00610156" w:rsidRPr="00573FA5" w:rsidRDefault="00610156" w:rsidP="00610156">
      <w:pPr>
        <w:ind w:firstLine="720"/>
        <w:contextualSpacing/>
        <w:jc w:val="both"/>
        <w:rPr>
          <w:rFonts w:ascii="Century Schoolbook" w:hAnsi="Century Schoolbook"/>
          <w:sz w:val="24"/>
          <w:szCs w:val="24"/>
        </w:rPr>
      </w:pPr>
    </w:p>
    <w:p w:rsidR="00610156" w:rsidRPr="00573FA5" w:rsidRDefault="00CA3C6F" w:rsidP="00610156">
      <w:pPr>
        <w:ind w:left="720" w:right="720"/>
        <w:contextualSpacing/>
        <w:jc w:val="both"/>
        <w:rPr>
          <w:rFonts w:ascii="Century Schoolbook" w:hAnsi="Century Schoolbook"/>
          <w:sz w:val="24"/>
          <w:szCs w:val="24"/>
        </w:rPr>
      </w:pPr>
      <w:r w:rsidRPr="00573FA5">
        <w:rPr>
          <w:rFonts w:ascii="Century Schoolbook" w:hAnsi="Century Schoolbook"/>
          <w:smallCaps/>
          <w:sz w:val="24"/>
          <w:szCs w:val="24"/>
        </w:rPr>
        <w:t>Best Practice 1C(</w:t>
      </w:r>
      <w:r w:rsidRPr="00573FA5">
        <w:rPr>
          <w:rFonts w:ascii="Century Schoolbook" w:hAnsi="Century Schoolbook"/>
          <w:sz w:val="24"/>
          <w:szCs w:val="24"/>
        </w:rPr>
        <w:t>ix</w:t>
      </w:r>
      <w:r w:rsidRPr="00573FA5">
        <w:rPr>
          <w:rFonts w:ascii="Century Schoolbook" w:hAnsi="Century Schoolbook"/>
          <w:smallCaps/>
          <w:sz w:val="24"/>
          <w:szCs w:val="24"/>
        </w:rPr>
        <w:t>):</w:t>
      </w:r>
      <w:r w:rsidRPr="00573FA5">
        <w:rPr>
          <w:rFonts w:ascii="Century Schoolbook" w:hAnsi="Century Schoolbook"/>
          <w:sz w:val="24"/>
          <w:szCs w:val="24"/>
        </w:rPr>
        <w:t xml:space="preserve"> The court should enforc</w:t>
      </w:r>
      <w:r>
        <w:rPr>
          <w:rFonts w:ascii="Century Schoolbook" w:hAnsi="Century Schoolbook"/>
          <w:sz w:val="24"/>
          <w:szCs w:val="24"/>
        </w:rPr>
        <w:t>e</w:t>
      </w:r>
      <w:r w:rsidRPr="00573FA5">
        <w:rPr>
          <w:rFonts w:ascii="Century Schoolbook" w:hAnsi="Century Schoolbook"/>
          <w:sz w:val="24"/>
          <w:szCs w:val="24"/>
        </w:rPr>
        <w:t xml:space="preserve"> </w:t>
      </w:r>
      <w:r w:rsidR="0010253B">
        <w:rPr>
          <w:rFonts w:ascii="Century Schoolbook" w:hAnsi="Century Schoolbook"/>
          <w:sz w:val="24"/>
          <w:szCs w:val="24"/>
        </w:rPr>
        <w:t>reasonable</w:t>
      </w:r>
      <w:r w:rsidRPr="00573FA5">
        <w:rPr>
          <w:rFonts w:ascii="Century Schoolbook" w:hAnsi="Century Schoolbook"/>
          <w:sz w:val="24"/>
          <w:szCs w:val="24"/>
        </w:rPr>
        <w:t xml:space="preserve"> deadlines for submitting fact sheets, excusing late submissions only on an appropriate showing. </w:t>
      </w:r>
    </w:p>
    <w:p w:rsidR="00610156" w:rsidRPr="00573FA5" w:rsidRDefault="00610156" w:rsidP="00610156">
      <w:pPr>
        <w:ind w:left="720" w:right="720"/>
        <w:contextualSpacing/>
        <w:jc w:val="both"/>
        <w:rPr>
          <w:rFonts w:ascii="Century Schoolbook" w:hAnsi="Century Schoolbook"/>
          <w:sz w:val="24"/>
          <w:szCs w:val="24"/>
        </w:rPr>
      </w:pPr>
    </w:p>
    <w:p w:rsidR="00610156" w:rsidRPr="00573FA5" w:rsidRDefault="00CA3C6F" w:rsidP="00610156">
      <w:pPr>
        <w:ind w:firstLine="720"/>
        <w:contextualSpacing/>
        <w:rPr>
          <w:rFonts w:ascii="Century Schoolbook" w:hAnsi="Century Schoolbook"/>
          <w:sz w:val="24"/>
          <w:szCs w:val="24"/>
        </w:rPr>
      </w:pPr>
      <w:r w:rsidRPr="00573FA5">
        <w:rPr>
          <w:rFonts w:ascii="Century Schoolbook" w:hAnsi="Century Schoolbook"/>
          <w:sz w:val="24"/>
          <w:szCs w:val="24"/>
        </w:rPr>
        <w:t>The transferee judge should articulate clear expectations and impose clear timelines for completing plaintiff and defendant fact sheets, together with clear procedures and timelines for addressing deficiencies.</w:t>
      </w:r>
      <w:r>
        <w:rPr>
          <w:rStyle w:val="FootnoteReference"/>
          <w:rFonts w:ascii="Century Schoolbook" w:hAnsi="Century Schoolbook"/>
          <w:sz w:val="24"/>
          <w:szCs w:val="24"/>
        </w:rPr>
        <w:footnoteReference w:id="6"/>
      </w:r>
      <w:r w:rsidRPr="00573FA5">
        <w:rPr>
          <w:rFonts w:ascii="Century Schoolbook" w:hAnsi="Century Schoolbook"/>
          <w:sz w:val="24"/>
          <w:szCs w:val="24"/>
        </w:rPr>
        <w:t xml:space="preserve"> Unless such procedures and deadlines are adhered to and enforced, counsel handling multiple claims may fall far behind in fulfilling that obligation. </w:t>
      </w:r>
      <w:r w:rsidRPr="00573FA5">
        <w:rPr>
          <w:rFonts w:ascii="Century Schoolbook" w:hAnsi="Century Schoolbook"/>
          <w:iCs/>
          <w:sz w:val="24"/>
          <w:szCs w:val="24"/>
        </w:rPr>
        <w:t>While the obligation to provide a timely, complete fact sheet falls solely on counsel of record for the individual MDL plaintiff or defendant, the court should expect the PSC and defense counsel to cooperate and share information regarding fact sheet compliance status to enable the PSC to communicate with counsel for individual plaintiffs with the goal of reducing deficiencies and motion practice.</w:t>
      </w:r>
      <w:r w:rsidRPr="00573FA5">
        <w:rPr>
          <w:rFonts w:ascii="Century Schoolbook" w:hAnsi="Century Schoolbook"/>
          <w:sz w:val="24"/>
          <w:szCs w:val="24"/>
        </w:rPr>
        <w:t> </w:t>
      </w:r>
    </w:p>
    <w:p w:rsidR="00610156" w:rsidRPr="00573FA5" w:rsidRDefault="00610156" w:rsidP="00610156">
      <w:pPr>
        <w:ind w:firstLine="720"/>
        <w:contextualSpacing/>
        <w:rPr>
          <w:rFonts w:ascii="Century Schoolbook" w:hAnsi="Century Schoolbook"/>
          <w:sz w:val="24"/>
          <w:szCs w:val="24"/>
        </w:rPr>
      </w:pPr>
    </w:p>
    <w:p w:rsidR="00610156" w:rsidRPr="00573FA5" w:rsidRDefault="00CA3C6F" w:rsidP="00610156">
      <w:pPr>
        <w:ind w:firstLine="720"/>
        <w:contextualSpacing/>
        <w:rPr>
          <w:rFonts w:ascii="Century Schoolbook" w:hAnsi="Century Schoolbook"/>
          <w:sz w:val="24"/>
          <w:szCs w:val="24"/>
        </w:rPr>
      </w:pPr>
      <w:r w:rsidRPr="00573FA5">
        <w:rPr>
          <w:rFonts w:ascii="Century Schoolbook" w:hAnsi="Century Schoolbook"/>
          <w:sz w:val="24"/>
          <w:szCs w:val="24"/>
        </w:rPr>
        <w:t xml:space="preserve">Although deadlines may be extended upon a showing of good cause or </w:t>
      </w:r>
      <w:r>
        <w:rPr>
          <w:rFonts w:ascii="Century Schoolbook" w:hAnsi="Century Schoolbook"/>
          <w:sz w:val="24"/>
          <w:szCs w:val="24"/>
        </w:rPr>
        <w:t>agr</w:t>
      </w:r>
      <w:r w:rsidRPr="00573FA5">
        <w:rPr>
          <w:rFonts w:ascii="Century Schoolbook" w:hAnsi="Century Schoolbook"/>
          <w:sz w:val="24"/>
          <w:szCs w:val="24"/>
        </w:rPr>
        <w:t>eement of the parties, timely and substantial compliance with fact sheet requirements, including completion of “core criteria,” should be the norm. Case management orders should include procedures for dismissing claims due to substantial noncompliance with fact sheet requirements and deadlines.</w:t>
      </w:r>
    </w:p>
    <w:p w:rsidR="00610156" w:rsidRPr="00573FA5" w:rsidRDefault="00610156" w:rsidP="00610156">
      <w:pPr>
        <w:ind w:firstLine="720"/>
        <w:contextualSpacing/>
        <w:jc w:val="both"/>
        <w:rPr>
          <w:rFonts w:ascii="Century Schoolbook" w:hAnsi="Century Schoolbook"/>
          <w:sz w:val="24"/>
          <w:szCs w:val="24"/>
        </w:rPr>
      </w:pPr>
    </w:p>
    <w:p w:rsidR="00610156" w:rsidRPr="00573FA5" w:rsidRDefault="00CA3C6F" w:rsidP="00610156">
      <w:pPr>
        <w:ind w:left="720" w:right="720"/>
        <w:contextualSpacing/>
        <w:jc w:val="both"/>
        <w:rPr>
          <w:rFonts w:ascii="Century Schoolbook" w:hAnsi="Century Schoolbook"/>
          <w:iCs/>
          <w:sz w:val="24"/>
          <w:szCs w:val="24"/>
        </w:rPr>
      </w:pPr>
      <w:r w:rsidRPr="00573FA5">
        <w:rPr>
          <w:rFonts w:ascii="Century Schoolbook" w:hAnsi="Century Schoolbook"/>
          <w:smallCaps/>
          <w:sz w:val="24"/>
          <w:szCs w:val="24"/>
        </w:rPr>
        <w:t>Best Practice 1C(</w:t>
      </w:r>
      <w:r w:rsidRPr="00573FA5">
        <w:rPr>
          <w:rFonts w:ascii="Century Schoolbook" w:hAnsi="Century Schoolbook"/>
          <w:sz w:val="24"/>
          <w:szCs w:val="24"/>
        </w:rPr>
        <w:t>x</w:t>
      </w:r>
      <w:r w:rsidRPr="00573FA5">
        <w:rPr>
          <w:rFonts w:ascii="Century Schoolbook" w:hAnsi="Century Schoolbook"/>
          <w:smallCaps/>
          <w:sz w:val="24"/>
          <w:szCs w:val="24"/>
        </w:rPr>
        <w:t>):</w:t>
      </w:r>
      <w:r w:rsidRPr="00573FA5">
        <w:rPr>
          <w:rFonts w:ascii="Century Schoolbook" w:hAnsi="Century Schoolbook"/>
          <w:sz w:val="24"/>
          <w:szCs w:val="24"/>
        </w:rPr>
        <w:t xml:space="preserve"> The</w:t>
      </w:r>
      <w:r w:rsidRPr="00573FA5">
        <w:rPr>
          <w:rFonts w:ascii="Century Schoolbook" w:hAnsi="Century Schoolbook"/>
          <w:iCs/>
          <w:sz w:val="24"/>
          <w:szCs w:val="24"/>
        </w:rPr>
        <w:t xml:space="preserve"> transferee judge should consider, in addition to deadlines for the completion of fact sheets, a case management order detailing the process for handling late or incomplete fact sheets. </w:t>
      </w:r>
    </w:p>
    <w:p w:rsidR="00610156" w:rsidRPr="00573FA5" w:rsidRDefault="00610156" w:rsidP="00610156">
      <w:pPr>
        <w:ind w:left="720" w:right="720"/>
        <w:contextualSpacing/>
        <w:jc w:val="both"/>
        <w:rPr>
          <w:rFonts w:ascii="Century Schoolbook" w:hAnsi="Century Schoolbook"/>
          <w:sz w:val="24"/>
          <w:szCs w:val="24"/>
        </w:rPr>
      </w:pPr>
    </w:p>
    <w:p w:rsidR="00610156" w:rsidRPr="00573FA5" w:rsidRDefault="00CA3C6F" w:rsidP="00610156">
      <w:pPr>
        <w:ind w:firstLine="720"/>
        <w:contextualSpacing/>
        <w:rPr>
          <w:rFonts w:ascii="Century Schoolbook" w:hAnsi="Century Schoolbook"/>
          <w:iCs/>
          <w:sz w:val="24"/>
          <w:szCs w:val="24"/>
        </w:rPr>
      </w:pPr>
      <w:r>
        <w:rPr>
          <w:rFonts w:ascii="Century Schoolbook" w:hAnsi="Century Schoolbook"/>
          <w:iCs/>
          <w:sz w:val="24"/>
          <w:szCs w:val="24"/>
        </w:rPr>
        <w:t>Anticipating that some fact sheets will not be filed or will be incomplete, t</w:t>
      </w:r>
      <w:r w:rsidRPr="00573FA5">
        <w:rPr>
          <w:rFonts w:ascii="Century Schoolbook" w:hAnsi="Century Schoolbook"/>
          <w:iCs/>
          <w:sz w:val="24"/>
          <w:szCs w:val="24"/>
        </w:rPr>
        <w:t xml:space="preserve">he parties should agree </w:t>
      </w:r>
      <w:r>
        <w:rPr>
          <w:rFonts w:ascii="Century Schoolbook" w:hAnsi="Century Schoolbook"/>
          <w:iCs/>
          <w:sz w:val="24"/>
          <w:szCs w:val="24"/>
        </w:rPr>
        <w:t xml:space="preserve">ahead of time </w:t>
      </w:r>
      <w:r w:rsidRPr="00573FA5">
        <w:rPr>
          <w:rFonts w:ascii="Century Schoolbook" w:hAnsi="Century Schoolbook"/>
          <w:iCs/>
          <w:sz w:val="24"/>
          <w:szCs w:val="24"/>
        </w:rPr>
        <w:t xml:space="preserve">on </w:t>
      </w:r>
      <w:r>
        <w:rPr>
          <w:rFonts w:ascii="Century Schoolbook" w:hAnsi="Century Schoolbook"/>
          <w:iCs/>
          <w:sz w:val="24"/>
          <w:szCs w:val="24"/>
        </w:rPr>
        <w:t xml:space="preserve">the </w:t>
      </w:r>
      <w:r w:rsidRPr="00573FA5">
        <w:rPr>
          <w:rFonts w:ascii="Century Schoolbook" w:hAnsi="Century Schoolbook"/>
          <w:iCs/>
          <w:sz w:val="24"/>
          <w:szCs w:val="24"/>
        </w:rPr>
        <w:t xml:space="preserve">process </w:t>
      </w:r>
      <w:r>
        <w:rPr>
          <w:rFonts w:ascii="Century Schoolbook" w:hAnsi="Century Schoolbook"/>
          <w:iCs/>
          <w:sz w:val="24"/>
          <w:szCs w:val="24"/>
        </w:rPr>
        <w:t xml:space="preserve">for addressing deficiencies. Such a process </w:t>
      </w:r>
      <w:r w:rsidRPr="00573FA5">
        <w:rPr>
          <w:rFonts w:ascii="Century Schoolbook" w:hAnsi="Century Schoolbook"/>
          <w:iCs/>
          <w:sz w:val="24"/>
          <w:szCs w:val="24"/>
        </w:rPr>
        <w:t>usually should include sending a non-compliance or deficiency notice letter, short (but reasonable) windows for correction of any alleged deficiency (typically ten to thirty days), and a schedule for motion practice for unresolved compliance issues. Several MDL courts have effectively addressed motions to dismiss through a two-tiered process: first, motions to dismiss without prejudice, followed by a short grace period during which the party can re-file; and second, motions to dismiss with prejudice.</w:t>
      </w:r>
      <w:r>
        <w:rPr>
          <w:rStyle w:val="FootnoteReference"/>
          <w:rFonts w:ascii="Century Schoolbook" w:hAnsi="Century Schoolbook"/>
          <w:sz w:val="24"/>
          <w:szCs w:val="24"/>
        </w:rPr>
        <w:footnoteReference w:id="7"/>
      </w:r>
      <w:r w:rsidRPr="00573FA5">
        <w:rPr>
          <w:rFonts w:ascii="Century Schoolbook" w:hAnsi="Century Schoolbook"/>
          <w:iCs/>
          <w:sz w:val="24"/>
          <w:szCs w:val="24"/>
        </w:rPr>
        <w:t xml:space="preserve"> </w:t>
      </w:r>
      <w:r w:rsidR="00DC0D9B">
        <w:rPr>
          <w:rFonts w:ascii="Century Schoolbook" w:hAnsi="Century Schoolbook"/>
          <w:iCs/>
          <w:sz w:val="24"/>
          <w:szCs w:val="24"/>
        </w:rPr>
        <w:t xml:space="preserve">Other courts, including Judge Fallon in the </w:t>
      </w:r>
      <w:r w:rsidR="00DC0D9B" w:rsidRPr="00DC0D9B">
        <w:rPr>
          <w:rFonts w:ascii="Century Schoolbook" w:hAnsi="Century Schoolbook"/>
          <w:i/>
          <w:iCs/>
          <w:sz w:val="24"/>
          <w:szCs w:val="24"/>
        </w:rPr>
        <w:t>Xarelto</w:t>
      </w:r>
      <w:r w:rsidR="00DC0D9B">
        <w:rPr>
          <w:rFonts w:ascii="Century Schoolbook" w:hAnsi="Century Schoolbook"/>
          <w:iCs/>
          <w:sz w:val="24"/>
          <w:szCs w:val="24"/>
        </w:rPr>
        <w:t xml:space="preserve"> MDL, have adopted an order to show cause process for delinquent or deficient fact sheets, which has </w:t>
      </w:r>
      <w:r w:rsidR="00DC0D9B">
        <w:rPr>
          <w:rFonts w:ascii="Century Schoolbook" w:hAnsi="Century Schoolbook"/>
          <w:iCs/>
          <w:sz w:val="24"/>
          <w:szCs w:val="24"/>
        </w:rPr>
        <w:lastRenderedPageBreak/>
        <w:t xml:space="preserve">proven to be a more efficient way of dealing with the issue on large scale rather than individual motions to dismiss.   </w:t>
      </w:r>
      <w:r w:rsidRPr="00573FA5">
        <w:rPr>
          <w:rFonts w:ascii="Century Schoolbook" w:hAnsi="Century Schoolbook"/>
          <w:iCs/>
          <w:sz w:val="24"/>
          <w:szCs w:val="24"/>
        </w:rPr>
        <w:t xml:space="preserve">While </w:t>
      </w:r>
      <w:r>
        <w:rPr>
          <w:rFonts w:ascii="Century Schoolbook" w:hAnsi="Century Schoolbook"/>
          <w:iCs/>
          <w:sz w:val="24"/>
          <w:szCs w:val="24"/>
        </w:rPr>
        <w:t xml:space="preserve">cases are ideally </w:t>
      </w:r>
      <w:r w:rsidRPr="00573FA5">
        <w:rPr>
          <w:rFonts w:ascii="Century Schoolbook" w:hAnsi="Century Schoolbook"/>
          <w:iCs/>
          <w:sz w:val="24"/>
          <w:szCs w:val="24"/>
        </w:rPr>
        <w:t xml:space="preserve">decided on the merits, </w:t>
      </w:r>
      <w:r>
        <w:rPr>
          <w:rFonts w:ascii="Century Schoolbook" w:hAnsi="Century Schoolbook"/>
          <w:iCs/>
          <w:sz w:val="24"/>
          <w:szCs w:val="24"/>
        </w:rPr>
        <w:t xml:space="preserve">efficiency is </w:t>
      </w:r>
      <w:r w:rsidR="0010253B">
        <w:rPr>
          <w:rFonts w:ascii="Century Schoolbook" w:hAnsi="Century Schoolbook"/>
          <w:iCs/>
          <w:sz w:val="24"/>
          <w:szCs w:val="24"/>
        </w:rPr>
        <w:t>a</w:t>
      </w:r>
      <w:r>
        <w:rPr>
          <w:rFonts w:ascii="Century Schoolbook" w:hAnsi="Century Schoolbook"/>
          <w:iCs/>
          <w:sz w:val="24"/>
          <w:szCs w:val="24"/>
        </w:rPr>
        <w:t xml:space="preserve"> primary basis for </w:t>
      </w:r>
      <w:r w:rsidR="0010253B">
        <w:rPr>
          <w:rFonts w:ascii="Century Schoolbook" w:hAnsi="Century Schoolbook"/>
          <w:iCs/>
          <w:sz w:val="24"/>
          <w:szCs w:val="24"/>
        </w:rPr>
        <w:t>an MDL</w:t>
      </w:r>
      <w:r>
        <w:rPr>
          <w:rFonts w:ascii="Century Schoolbook" w:hAnsi="Century Schoolbook"/>
          <w:iCs/>
          <w:sz w:val="24"/>
          <w:szCs w:val="24"/>
        </w:rPr>
        <w:t xml:space="preserve">, and </w:t>
      </w:r>
      <w:r w:rsidRPr="00573FA5">
        <w:rPr>
          <w:rFonts w:ascii="Century Schoolbook" w:hAnsi="Century Schoolbook"/>
          <w:iCs/>
          <w:sz w:val="24"/>
          <w:szCs w:val="24"/>
        </w:rPr>
        <w:t xml:space="preserve">the fact sheet process is a critical component of the effective management of the litigation. The transferee judge should deal with fact sheet non-compliance directly and promptly, including through a well-defined process culminating in motions to dismiss. </w:t>
      </w:r>
    </w:p>
    <w:p w:rsidR="00610156" w:rsidRPr="00573FA5" w:rsidRDefault="00610156" w:rsidP="00610156">
      <w:pPr>
        <w:ind w:firstLine="720"/>
        <w:contextualSpacing/>
        <w:jc w:val="both"/>
        <w:rPr>
          <w:rFonts w:ascii="Century Schoolbook" w:hAnsi="Century Schoolbook"/>
          <w:iCs/>
          <w:sz w:val="24"/>
          <w:szCs w:val="24"/>
        </w:rPr>
      </w:pPr>
    </w:p>
    <w:p w:rsidR="00610156" w:rsidRPr="00573FA5" w:rsidRDefault="00CA3C6F" w:rsidP="00610156">
      <w:pPr>
        <w:ind w:firstLine="720"/>
        <w:contextualSpacing/>
        <w:rPr>
          <w:rFonts w:ascii="Century Schoolbook" w:hAnsi="Century Schoolbook"/>
          <w:iCs/>
          <w:sz w:val="24"/>
          <w:szCs w:val="24"/>
        </w:rPr>
      </w:pPr>
      <w:r w:rsidRPr="00573FA5">
        <w:rPr>
          <w:rFonts w:ascii="Century Schoolbook" w:hAnsi="Century Schoolbook"/>
          <w:iCs/>
          <w:sz w:val="24"/>
          <w:szCs w:val="24"/>
        </w:rPr>
        <w:t xml:space="preserve">Because one benefit of having court-approved fact sheets is elimination of disputes as to whether certain questions are appropriate in a particular MDL, courts should consider ways in which enforcement of fact sheet obligations might be streamlined, including modifying typical meet-and-confer requirements for discovery motions in favor of a well-defined procedure for addressing fact sheet compliance issues in the order implementing the fact sheets. </w:t>
      </w:r>
    </w:p>
    <w:p w:rsidR="00610156" w:rsidRPr="00573FA5" w:rsidRDefault="00610156" w:rsidP="00610156">
      <w:pPr>
        <w:ind w:firstLine="720"/>
        <w:contextualSpacing/>
        <w:jc w:val="both"/>
        <w:rPr>
          <w:rFonts w:ascii="Century Schoolbook" w:hAnsi="Century Schoolbook"/>
          <w:sz w:val="24"/>
          <w:szCs w:val="24"/>
        </w:rPr>
      </w:pPr>
    </w:p>
    <w:p w:rsidR="00610156" w:rsidRPr="00573FA5" w:rsidRDefault="00CA3C6F" w:rsidP="00610156">
      <w:pPr>
        <w:pStyle w:val="20sp1"/>
        <w:spacing w:after="0" w:line="240" w:lineRule="auto"/>
        <w:ind w:left="720" w:right="720" w:firstLine="0"/>
        <w:contextualSpacing/>
        <w:jc w:val="both"/>
        <w:rPr>
          <w:rFonts w:ascii="Century Schoolbook" w:hAnsi="Century Schoolbook"/>
          <w:szCs w:val="24"/>
        </w:rPr>
      </w:pPr>
      <w:r w:rsidRPr="00573FA5">
        <w:rPr>
          <w:rFonts w:ascii="Century Schoolbook" w:hAnsi="Century Schoolbook"/>
          <w:smallCaps/>
          <w:szCs w:val="24"/>
        </w:rPr>
        <w:t>Best Practice 1C(</w:t>
      </w:r>
      <w:r w:rsidRPr="00573FA5">
        <w:rPr>
          <w:rFonts w:ascii="Century Schoolbook" w:hAnsi="Century Schoolbook"/>
          <w:szCs w:val="24"/>
        </w:rPr>
        <w:t xml:space="preserve">xi): </w:t>
      </w:r>
      <w:r>
        <w:rPr>
          <w:rFonts w:ascii="Century Schoolbook" w:hAnsi="Century Schoolbook"/>
          <w:szCs w:val="24"/>
        </w:rPr>
        <w:t xml:space="preserve">Once it is </w:t>
      </w:r>
      <w:r w:rsidR="0010253B">
        <w:rPr>
          <w:rFonts w:ascii="Century Schoolbook" w:hAnsi="Century Schoolbook"/>
          <w:szCs w:val="24"/>
        </w:rPr>
        <w:t>demonstrated</w:t>
      </w:r>
      <w:r>
        <w:rPr>
          <w:rFonts w:ascii="Century Schoolbook" w:hAnsi="Century Schoolbook"/>
          <w:szCs w:val="24"/>
        </w:rPr>
        <w:t xml:space="preserve"> </w:t>
      </w:r>
      <w:r w:rsidRPr="00573FA5">
        <w:rPr>
          <w:rFonts w:ascii="Century Schoolbook" w:hAnsi="Century Schoolbook"/>
          <w:szCs w:val="24"/>
        </w:rPr>
        <w:t xml:space="preserve">that individual fact sheets have been filed with material, inaccurate information, the court should consider requiring that </w:t>
      </w:r>
      <w:r>
        <w:rPr>
          <w:rFonts w:ascii="Century Schoolbook" w:hAnsi="Century Schoolbook"/>
          <w:szCs w:val="24"/>
        </w:rPr>
        <w:t xml:space="preserve">answers be supported with </w:t>
      </w:r>
      <w:r w:rsidR="0010253B">
        <w:rPr>
          <w:rFonts w:ascii="Century Schoolbook" w:hAnsi="Century Schoolbook"/>
          <w:szCs w:val="24"/>
        </w:rPr>
        <w:t xml:space="preserve">some minimal amount of additional </w:t>
      </w:r>
      <w:r w:rsidRPr="00573FA5">
        <w:rPr>
          <w:rFonts w:ascii="Century Schoolbook" w:hAnsi="Century Schoolbook"/>
          <w:szCs w:val="24"/>
        </w:rPr>
        <w:t xml:space="preserve">evidence supporting the claim or defense </w:t>
      </w:r>
      <w:r>
        <w:rPr>
          <w:rFonts w:ascii="Century Schoolbook" w:hAnsi="Century Schoolbook"/>
          <w:szCs w:val="24"/>
        </w:rPr>
        <w:t>at issue</w:t>
      </w:r>
      <w:r w:rsidRPr="00573FA5">
        <w:rPr>
          <w:rFonts w:ascii="Century Schoolbook" w:hAnsi="Century Schoolbook"/>
          <w:szCs w:val="24"/>
        </w:rPr>
        <w:t xml:space="preserve">. </w:t>
      </w:r>
    </w:p>
    <w:p w:rsidR="00610156" w:rsidRPr="00573FA5" w:rsidRDefault="00610156" w:rsidP="00610156">
      <w:pPr>
        <w:pStyle w:val="20sp1"/>
        <w:spacing w:after="0" w:line="240" w:lineRule="auto"/>
        <w:ind w:left="720" w:right="720" w:firstLine="0"/>
        <w:contextualSpacing/>
        <w:jc w:val="both"/>
        <w:rPr>
          <w:rFonts w:ascii="Century Schoolbook" w:hAnsi="Century Schoolbook"/>
          <w:szCs w:val="24"/>
        </w:rPr>
      </w:pPr>
    </w:p>
    <w:p w:rsidR="00610156" w:rsidRPr="00573FA5" w:rsidRDefault="00CA3C6F" w:rsidP="00610156">
      <w:pPr>
        <w:pStyle w:val="20sp1"/>
        <w:spacing w:after="0" w:line="240" w:lineRule="auto"/>
        <w:ind w:firstLine="720"/>
        <w:contextualSpacing/>
        <w:rPr>
          <w:rFonts w:ascii="Century Schoolbook" w:hAnsi="Century Schoolbook"/>
          <w:szCs w:val="24"/>
        </w:rPr>
      </w:pPr>
      <w:r w:rsidRPr="00573FA5">
        <w:rPr>
          <w:rFonts w:ascii="Century Schoolbook" w:hAnsi="Century Schoolbook"/>
          <w:szCs w:val="24"/>
        </w:rPr>
        <w:t>Plaintiff fact sheets, including streamlined fact sheets, in many cases provide sufficient information to support the plaintiffs’ claims. However, there have been reported opinions in the largest mass-tort MDLs, usually involving allegedly harmful pharmaceuticals or medical devices, in which large numbers of fact sheets have been submitted with material, inaccurate information.</w:t>
      </w:r>
      <w:r>
        <w:rPr>
          <w:rStyle w:val="FootnoteReference"/>
          <w:rFonts w:ascii="Century Schoolbook" w:hAnsi="Century Schoolbook"/>
          <w:szCs w:val="24"/>
        </w:rPr>
        <w:footnoteReference w:id="8"/>
      </w:r>
      <w:r w:rsidRPr="00573FA5">
        <w:rPr>
          <w:rFonts w:ascii="Century Schoolbook" w:hAnsi="Century Schoolbook"/>
          <w:szCs w:val="24"/>
        </w:rPr>
        <w:t xml:space="preserve"> Although the defendant can verify individual claims after receiving </w:t>
      </w:r>
      <w:r w:rsidR="0010253B">
        <w:rPr>
          <w:rFonts w:ascii="Century Schoolbook" w:hAnsi="Century Schoolbook"/>
          <w:szCs w:val="24"/>
        </w:rPr>
        <w:t>medical records</w:t>
      </w:r>
      <w:r w:rsidRPr="00573FA5">
        <w:rPr>
          <w:rFonts w:ascii="Century Schoolbook" w:hAnsi="Century Schoolbook"/>
          <w:szCs w:val="24"/>
        </w:rPr>
        <w:t xml:space="preserve"> authorizations and conducting discovery, doing so takes substantial time in MDLs that consist of thousands of claims. Meanwhile, the cases remain active. </w:t>
      </w:r>
    </w:p>
    <w:p w:rsidR="00610156" w:rsidRPr="00573FA5" w:rsidRDefault="00610156" w:rsidP="00610156">
      <w:pPr>
        <w:pStyle w:val="20sp1"/>
        <w:spacing w:after="0" w:line="240" w:lineRule="auto"/>
        <w:ind w:firstLine="720"/>
        <w:contextualSpacing/>
        <w:rPr>
          <w:rFonts w:ascii="Century Schoolbook" w:hAnsi="Century Schoolbook"/>
          <w:szCs w:val="24"/>
        </w:rPr>
      </w:pPr>
    </w:p>
    <w:p w:rsidR="00610156" w:rsidRDefault="00CA3C6F" w:rsidP="00610156">
      <w:pPr>
        <w:pStyle w:val="20sp1"/>
        <w:spacing w:after="0" w:line="240" w:lineRule="auto"/>
        <w:ind w:firstLine="720"/>
        <w:contextualSpacing/>
        <w:rPr>
          <w:rFonts w:ascii="Century Schoolbook" w:hAnsi="Century Schoolbook"/>
          <w:szCs w:val="24"/>
        </w:rPr>
      </w:pPr>
      <w:r w:rsidRPr="00573FA5">
        <w:rPr>
          <w:rFonts w:ascii="Century Schoolbook" w:hAnsi="Century Schoolbook"/>
          <w:szCs w:val="24"/>
        </w:rPr>
        <w:t xml:space="preserve">When fact sheets have been submitted with inaccurate information, the court should consider requiring that all individual parties submit some minimum quantum of evidence, for example, </w:t>
      </w:r>
      <w:r w:rsidR="00DC0D9B">
        <w:rPr>
          <w:rFonts w:ascii="Century Schoolbook" w:hAnsi="Century Schoolbook"/>
          <w:szCs w:val="24"/>
        </w:rPr>
        <w:t>pharmacy</w:t>
      </w:r>
      <w:r w:rsidRPr="00573FA5">
        <w:rPr>
          <w:rFonts w:ascii="Century Schoolbook" w:hAnsi="Century Schoolbook"/>
          <w:szCs w:val="24"/>
        </w:rPr>
        <w:t xml:space="preserve"> records, receipts from pharmac</w:t>
      </w:r>
      <w:r w:rsidR="00DC0D9B">
        <w:rPr>
          <w:rFonts w:ascii="Century Schoolbook" w:hAnsi="Century Schoolbook"/>
          <w:szCs w:val="24"/>
        </w:rPr>
        <w:t xml:space="preserve">eutical </w:t>
      </w:r>
      <w:r w:rsidRPr="00573FA5">
        <w:rPr>
          <w:rFonts w:ascii="Century Schoolbook" w:hAnsi="Century Schoolbook"/>
          <w:szCs w:val="24"/>
        </w:rPr>
        <w:t xml:space="preserve">purchases, and medical records. If no such evidence is available, the court should provide individuals an opportunity to explain the absence of the evidence. </w:t>
      </w:r>
    </w:p>
    <w:p w:rsidR="00610156" w:rsidRDefault="00610156" w:rsidP="00610156">
      <w:pPr>
        <w:pStyle w:val="20sp1"/>
        <w:spacing w:after="0" w:line="240" w:lineRule="auto"/>
        <w:ind w:left="720" w:right="720" w:firstLine="0"/>
        <w:contextualSpacing/>
        <w:jc w:val="both"/>
        <w:rPr>
          <w:rFonts w:ascii="Century Schoolbook" w:hAnsi="Century Schoolbook"/>
          <w:smallCaps/>
          <w:szCs w:val="24"/>
        </w:rPr>
      </w:pPr>
    </w:p>
    <w:p w:rsidR="00DC0D9B" w:rsidRDefault="00DC0D9B" w:rsidP="00610156">
      <w:pPr>
        <w:pStyle w:val="20sp1"/>
        <w:spacing w:after="0" w:line="240" w:lineRule="auto"/>
        <w:ind w:left="720" w:right="720" w:firstLine="0"/>
        <w:contextualSpacing/>
        <w:jc w:val="both"/>
        <w:rPr>
          <w:rFonts w:ascii="Century Schoolbook" w:hAnsi="Century Schoolbook"/>
          <w:smallCaps/>
          <w:szCs w:val="24"/>
        </w:rPr>
      </w:pPr>
    </w:p>
    <w:p w:rsidR="00DC0D9B" w:rsidRDefault="00DC0D9B" w:rsidP="00610156">
      <w:pPr>
        <w:pStyle w:val="20sp1"/>
        <w:spacing w:after="0" w:line="240" w:lineRule="auto"/>
        <w:ind w:left="720" w:right="720" w:firstLine="0"/>
        <w:contextualSpacing/>
        <w:jc w:val="both"/>
        <w:rPr>
          <w:rFonts w:ascii="Century Schoolbook" w:hAnsi="Century Schoolbook"/>
          <w:smallCaps/>
          <w:szCs w:val="24"/>
        </w:rPr>
      </w:pPr>
    </w:p>
    <w:p w:rsidR="00DC0D9B" w:rsidRDefault="00DC0D9B" w:rsidP="00610156">
      <w:pPr>
        <w:pStyle w:val="20sp1"/>
        <w:spacing w:after="0" w:line="240" w:lineRule="auto"/>
        <w:ind w:left="720" w:right="720" w:firstLine="0"/>
        <w:contextualSpacing/>
        <w:jc w:val="both"/>
        <w:rPr>
          <w:rFonts w:ascii="Century Schoolbook" w:hAnsi="Century Schoolbook"/>
          <w:smallCaps/>
          <w:szCs w:val="24"/>
        </w:rPr>
      </w:pPr>
    </w:p>
    <w:p w:rsidR="00DC0D9B" w:rsidRDefault="00DC0D9B" w:rsidP="00610156">
      <w:pPr>
        <w:pStyle w:val="20sp1"/>
        <w:spacing w:after="0" w:line="240" w:lineRule="auto"/>
        <w:ind w:left="720" w:right="720" w:firstLine="0"/>
        <w:contextualSpacing/>
        <w:jc w:val="both"/>
        <w:rPr>
          <w:rFonts w:ascii="Century Schoolbook" w:hAnsi="Century Schoolbook"/>
          <w:smallCaps/>
          <w:szCs w:val="24"/>
        </w:rPr>
      </w:pPr>
    </w:p>
    <w:p w:rsidR="00DC0D9B" w:rsidRDefault="00DC0D9B" w:rsidP="00610156">
      <w:pPr>
        <w:pStyle w:val="20sp1"/>
        <w:spacing w:after="0" w:line="240" w:lineRule="auto"/>
        <w:ind w:left="720" w:right="720" w:firstLine="0"/>
        <w:contextualSpacing/>
        <w:jc w:val="both"/>
        <w:rPr>
          <w:rFonts w:ascii="Century Schoolbook" w:hAnsi="Century Schoolbook"/>
          <w:smallCaps/>
          <w:szCs w:val="24"/>
        </w:rPr>
      </w:pPr>
    </w:p>
    <w:p w:rsidR="00DC0D9B" w:rsidRDefault="00DC0D9B" w:rsidP="00610156">
      <w:pPr>
        <w:pStyle w:val="20sp1"/>
        <w:spacing w:after="0" w:line="240" w:lineRule="auto"/>
        <w:ind w:left="720" w:right="720" w:firstLine="0"/>
        <w:contextualSpacing/>
        <w:jc w:val="both"/>
        <w:rPr>
          <w:rFonts w:ascii="Century Schoolbook" w:hAnsi="Century Schoolbook"/>
          <w:smallCaps/>
          <w:szCs w:val="24"/>
        </w:rPr>
      </w:pPr>
    </w:p>
    <w:p w:rsidR="00DC0D9B" w:rsidRPr="00573FA5" w:rsidRDefault="00DC0D9B" w:rsidP="00610156">
      <w:pPr>
        <w:pStyle w:val="20sp1"/>
        <w:spacing w:after="0" w:line="240" w:lineRule="auto"/>
        <w:ind w:left="720" w:right="720" w:firstLine="0"/>
        <w:contextualSpacing/>
        <w:jc w:val="both"/>
        <w:rPr>
          <w:rFonts w:ascii="Century Schoolbook" w:hAnsi="Century Schoolbook"/>
          <w:smallCaps/>
          <w:szCs w:val="24"/>
        </w:rPr>
      </w:pPr>
    </w:p>
    <w:p w:rsidR="00610156" w:rsidRDefault="00CA3C6F" w:rsidP="00610156">
      <w:pPr>
        <w:pStyle w:val="20sp1"/>
        <w:spacing w:after="0" w:line="240" w:lineRule="auto"/>
        <w:ind w:left="720" w:right="720" w:firstLine="0"/>
        <w:contextualSpacing/>
        <w:jc w:val="both"/>
        <w:rPr>
          <w:rFonts w:ascii="Century Schoolbook" w:hAnsi="Century Schoolbook"/>
          <w:szCs w:val="24"/>
        </w:rPr>
      </w:pPr>
      <w:r w:rsidRPr="00573FA5">
        <w:rPr>
          <w:rFonts w:ascii="Century Schoolbook" w:hAnsi="Century Schoolbook"/>
          <w:smallCaps/>
          <w:szCs w:val="24"/>
        </w:rPr>
        <w:lastRenderedPageBreak/>
        <w:t>Best Practice 1D</w:t>
      </w:r>
      <w:r w:rsidRPr="00573FA5">
        <w:rPr>
          <w:rFonts w:ascii="Century Schoolbook" w:hAnsi="Century Schoolbook"/>
          <w:szCs w:val="24"/>
        </w:rPr>
        <w:t>: Class actions may require a different approach to discovery because of the need to resolve class-certification issues as early as practicable.</w:t>
      </w:r>
    </w:p>
    <w:p w:rsidR="0010253B" w:rsidRPr="00573FA5" w:rsidRDefault="0010253B" w:rsidP="00610156">
      <w:pPr>
        <w:pStyle w:val="20sp1"/>
        <w:spacing w:after="0" w:line="240" w:lineRule="auto"/>
        <w:ind w:left="720" w:right="720" w:firstLine="0"/>
        <w:contextualSpacing/>
        <w:jc w:val="both"/>
        <w:rPr>
          <w:rFonts w:ascii="Century Schoolbook" w:hAnsi="Century Schoolbook"/>
          <w:szCs w:val="24"/>
        </w:rPr>
      </w:pPr>
    </w:p>
    <w:p w:rsidR="00610156" w:rsidRDefault="00CA3C6F" w:rsidP="00610156">
      <w:pPr>
        <w:pStyle w:val="20sp1"/>
        <w:spacing w:after="0" w:line="240" w:lineRule="auto"/>
        <w:ind w:firstLine="720"/>
        <w:contextualSpacing/>
        <w:jc w:val="both"/>
        <w:rPr>
          <w:rFonts w:ascii="Century Schoolbook" w:hAnsi="Century Schoolbook"/>
          <w:szCs w:val="24"/>
        </w:rPr>
      </w:pPr>
      <w:r w:rsidRPr="00573FA5">
        <w:rPr>
          <w:rFonts w:ascii="Century Schoolbook" w:hAnsi="Century Schoolbook"/>
          <w:szCs w:val="24"/>
        </w:rPr>
        <w:t>….</w:t>
      </w:r>
      <w:r w:rsidR="0010253B">
        <w:rPr>
          <w:rFonts w:ascii="Century Schoolbook" w:hAnsi="Century Schoolbook"/>
          <w:szCs w:val="24"/>
        </w:rPr>
        <w:t xml:space="preserve"> [</w:t>
      </w:r>
      <w:r w:rsidR="00BC2CA2">
        <w:rPr>
          <w:rFonts w:ascii="Century Schoolbook" w:hAnsi="Century Schoolbook"/>
          <w:szCs w:val="24"/>
        </w:rPr>
        <w:t>Material o</w:t>
      </w:r>
      <w:r w:rsidR="0010253B">
        <w:rPr>
          <w:rFonts w:ascii="Century Schoolbook" w:hAnsi="Century Schoolbook"/>
          <w:szCs w:val="24"/>
        </w:rPr>
        <w:t>mitted from 2014 MDL Standards and Best Practices.]</w:t>
      </w:r>
    </w:p>
    <w:p w:rsidR="0010253B" w:rsidRPr="00573FA5" w:rsidRDefault="0010253B" w:rsidP="00610156">
      <w:pPr>
        <w:pStyle w:val="20sp1"/>
        <w:spacing w:after="0" w:line="240" w:lineRule="auto"/>
        <w:ind w:firstLine="720"/>
        <w:contextualSpacing/>
        <w:jc w:val="both"/>
        <w:rPr>
          <w:rFonts w:ascii="Century Schoolbook" w:hAnsi="Century Schoolbook"/>
          <w:szCs w:val="24"/>
        </w:rPr>
      </w:pPr>
    </w:p>
    <w:p w:rsidR="00610156" w:rsidRPr="00573FA5" w:rsidRDefault="00CA3C6F" w:rsidP="00610156">
      <w:pPr>
        <w:pStyle w:val="BodyText"/>
        <w:tabs>
          <w:tab w:val="left" w:pos="2938"/>
        </w:tabs>
        <w:ind w:left="720" w:right="922"/>
        <w:contextualSpacing/>
        <w:jc w:val="both"/>
        <w:rPr>
          <w:rFonts w:ascii="Century Schoolbook" w:hAnsi="Century Schoolbook"/>
          <w:color w:val="000000" w:themeColor="text1"/>
        </w:rPr>
      </w:pPr>
      <w:r w:rsidRPr="00573FA5">
        <w:rPr>
          <w:rFonts w:ascii="Century Schoolbook" w:hAnsi="Century Schoolbook"/>
          <w:smallCaps/>
          <w:color w:val="000000" w:themeColor="text1"/>
        </w:rPr>
        <w:t>Best Practice 1E</w:t>
      </w:r>
      <w:r w:rsidRPr="00573FA5">
        <w:rPr>
          <w:rFonts w:ascii="Century Schoolbook" w:hAnsi="Century Schoolbook"/>
          <w:color w:val="000000" w:themeColor="text1"/>
        </w:rPr>
        <w:t>: The transferee judge should confer with the parties to</w:t>
      </w:r>
      <w:r w:rsidRPr="00573FA5">
        <w:rPr>
          <w:rFonts w:ascii="Century Schoolbook" w:hAnsi="Century Schoolbook"/>
          <w:color w:val="000000" w:themeColor="text1"/>
          <w:w w:val="99"/>
        </w:rPr>
        <w:t xml:space="preserve"> </w:t>
      </w:r>
      <w:r w:rsidRPr="00573FA5">
        <w:rPr>
          <w:rFonts w:ascii="Century Schoolbook" w:hAnsi="Century Schoolbook"/>
          <w:color w:val="000000" w:themeColor="text1"/>
        </w:rPr>
        <w:t>determine whether holding bellwether trials would advance the</w:t>
      </w:r>
      <w:r w:rsidRPr="00573FA5">
        <w:rPr>
          <w:rFonts w:ascii="Century Schoolbook" w:hAnsi="Century Schoolbook"/>
          <w:color w:val="000000" w:themeColor="text1"/>
          <w:spacing w:val="-19"/>
        </w:rPr>
        <w:t xml:space="preserve"> </w:t>
      </w:r>
      <w:r w:rsidRPr="00573FA5">
        <w:rPr>
          <w:rFonts w:ascii="Century Schoolbook" w:hAnsi="Century Schoolbook"/>
          <w:color w:val="000000" w:themeColor="text1"/>
        </w:rPr>
        <w:t>litigation.</w:t>
      </w:r>
    </w:p>
    <w:p w:rsidR="00610156" w:rsidRPr="00573FA5" w:rsidRDefault="00610156" w:rsidP="00610156">
      <w:pPr>
        <w:pStyle w:val="BodyText"/>
        <w:tabs>
          <w:tab w:val="left" w:pos="2938"/>
        </w:tabs>
        <w:ind w:left="835" w:right="922"/>
        <w:contextualSpacing/>
        <w:jc w:val="both"/>
        <w:rPr>
          <w:rFonts w:ascii="Century Schoolbook" w:hAnsi="Century Schoolbook"/>
          <w:color w:val="000000" w:themeColor="text1"/>
        </w:rPr>
      </w:pPr>
    </w:p>
    <w:p w:rsidR="00610156" w:rsidRPr="00573FA5" w:rsidRDefault="0010253B" w:rsidP="00610156">
      <w:pPr>
        <w:pStyle w:val="BodyText"/>
        <w:ind w:firstLine="720"/>
        <w:contextualSpacing/>
        <w:rPr>
          <w:rFonts w:ascii="Century Schoolbook" w:hAnsi="Century Schoolbook"/>
          <w:color w:val="000000" w:themeColor="text1"/>
        </w:rPr>
      </w:pPr>
      <w:r>
        <w:rPr>
          <w:rFonts w:ascii="Century Schoolbook" w:hAnsi="Century Schoolbook"/>
          <w:color w:val="000000" w:themeColor="text1"/>
        </w:rPr>
        <w:t>Concerns continue to be expressed that some MDLs are best managed by focusing on the statutory mandate to conduct pretrial proceedings with an eye toward remand instead of holding bellwether trials and resolving by settlement within the MDL proceedings. Accordingly, t</w:t>
      </w:r>
      <w:r w:rsidR="00CA3C6F" w:rsidRPr="00573FA5">
        <w:rPr>
          <w:rFonts w:ascii="Century Schoolbook" w:hAnsi="Century Schoolbook"/>
          <w:color w:val="000000" w:themeColor="text1"/>
        </w:rPr>
        <w:t xml:space="preserve">he transferee judge should determine as a threshold matter whether bellwether proceedings would be beneficial.  But determining whether and which cases should serve as bellwethers </w:t>
      </w:r>
      <w:r w:rsidR="00CA3C6F">
        <w:rPr>
          <w:rFonts w:ascii="Century Schoolbook" w:hAnsi="Century Schoolbook"/>
          <w:color w:val="000000" w:themeColor="text1"/>
        </w:rPr>
        <w:t xml:space="preserve">can be </w:t>
      </w:r>
      <w:r w:rsidR="00CA3C6F" w:rsidRPr="00573FA5">
        <w:rPr>
          <w:rFonts w:ascii="Century Schoolbook" w:hAnsi="Century Schoolbook"/>
          <w:color w:val="000000" w:themeColor="text1"/>
        </w:rPr>
        <w:t>difficult.  Counsel must provide the judge with sufficient information describing the nature of claims, extent of injuries, and other pertinent data so that the judge can make an informed decision.</w:t>
      </w:r>
    </w:p>
    <w:p w:rsidR="00610156" w:rsidRPr="00573FA5" w:rsidRDefault="00610156" w:rsidP="00610156">
      <w:pPr>
        <w:pStyle w:val="BodyText"/>
        <w:ind w:firstLine="720"/>
        <w:contextualSpacing/>
        <w:rPr>
          <w:rFonts w:ascii="Century Schoolbook" w:hAnsi="Century Schoolbook"/>
          <w:color w:val="000000" w:themeColor="text1"/>
        </w:rPr>
      </w:pPr>
    </w:p>
    <w:p w:rsidR="00610156" w:rsidRPr="00573FA5" w:rsidRDefault="00CA3C6F" w:rsidP="00610156">
      <w:pPr>
        <w:pStyle w:val="BodyText"/>
        <w:ind w:firstLine="720"/>
        <w:contextualSpacing/>
        <w:rPr>
          <w:rFonts w:ascii="Century Schoolbook" w:hAnsi="Century Schoolbook"/>
          <w:color w:val="000000" w:themeColor="text1"/>
        </w:rPr>
      </w:pPr>
      <w:r w:rsidRPr="00573FA5">
        <w:rPr>
          <w:rFonts w:ascii="Century Schoolbook" w:hAnsi="Century Schoolbook"/>
          <w:color w:val="000000" w:themeColor="text1"/>
        </w:rPr>
        <w:t xml:space="preserve">In some MDL proceedings, the individual cases may be too dissimilar for bellwether trials to provide any useful insight into the larger claims pool. </w:t>
      </w:r>
      <w:r>
        <w:rPr>
          <w:rFonts w:ascii="Century Schoolbook" w:hAnsi="Century Schoolbook"/>
          <w:color w:val="000000" w:themeColor="text1"/>
        </w:rPr>
        <w:t xml:space="preserve">Remand following pre-trial proceedings may well be the most appropriate course in such situations.  Otherwise, </w:t>
      </w:r>
      <w:r w:rsidRPr="00573FA5">
        <w:rPr>
          <w:rFonts w:ascii="Century Schoolbook" w:hAnsi="Century Schoolbook"/>
          <w:color w:val="000000" w:themeColor="text1"/>
        </w:rPr>
        <w:t xml:space="preserve">motion practice, mediation, summary trials, mini-trials, or joint trials of multiple cases </w:t>
      </w:r>
      <w:r>
        <w:rPr>
          <w:rFonts w:ascii="Century Schoolbook" w:hAnsi="Century Schoolbook"/>
          <w:color w:val="000000" w:themeColor="text1"/>
        </w:rPr>
        <w:t>may</w:t>
      </w:r>
      <w:r w:rsidRPr="00573FA5">
        <w:rPr>
          <w:rFonts w:ascii="Century Schoolbook" w:hAnsi="Century Schoolbook"/>
          <w:color w:val="000000" w:themeColor="text1"/>
        </w:rPr>
        <w:t xml:space="preserve"> better serve the parties’ goals than a traditional bellwether trial. </w:t>
      </w:r>
    </w:p>
    <w:p w:rsidR="00610156" w:rsidRPr="00573FA5" w:rsidRDefault="00610156" w:rsidP="00610156">
      <w:pPr>
        <w:pStyle w:val="BodyText"/>
        <w:ind w:firstLine="720"/>
        <w:contextualSpacing/>
        <w:rPr>
          <w:rFonts w:ascii="Century Schoolbook" w:hAnsi="Century Schoolbook"/>
          <w:color w:val="000000" w:themeColor="text1"/>
        </w:rPr>
      </w:pPr>
    </w:p>
    <w:p w:rsidR="00610156" w:rsidRPr="00573FA5" w:rsidRDefault="00CA3C6F" w:rsidP="00610156">
      <w:pPr>
        <w:pStyle w:val="BodyText"/>
        <w:ind w:firstLine="720"/>
        <w:contextualSpacing/>
        <w:rPr>
          <w:rFonts w:ascii="Century Schoolbook" w:hAnsi="Century Schoolbook"/>
          <w:color w:val="000000" w:themeColor="text1"/>
        </w:rPr>
      </w:pPr>
      <w:r w:rsidRPr="00573FA5">
        <w:rPr>
          <w:rFonts w:ascii="Century Schoolbook" w:hAnsi="Century Schoolbook"/>
          <w:color w:val="000000" w:themeColor="text1"/>
        </w:rPr>
        <w:t xml:space="preserve"> “Bellwether” cases, or test cases focused upon individual claims, have been an important case-management tool in many MDL proceedings involving numerous individual claims. </w:t>
      </w:r>
      <w:r w:rsidR="00AB5F67">
        <w:rPr>
          <w:rFonts w:ascii="Century Schoolbook" w:hAnsi="Century Schoolbook"/>
          <w:color w:val="000000" w:themeColor="text1"/>
        </w:rPr>
        <w:t xml:space="preserve"> A</w:t>
      </w:r>
      <w:r w:rsidRPr="00573FA5">
        <w:rPr>
          <w:rFonts w:ascii="Century Schoolbook" w:hAnsi="Century Schoolbook"/>
          <w:color w:val="000000" w:themeColor="text1"/>
        </w:rPr>
        <w:t xml:space="preserve"> bellwether is the first sheep that leads the flock — and </w:t>
      </w:r>
      <w:r w:rsidR="00AB5F67">
        <w:rPr>
          <w:rFonts w:ascii="Century Schoolbook" w:hAnsi="Century Schoolbook"/>
          <w:color w:val="000000" w:themeColor="text1"/>
        </w:rPr>
        <w:t xml:space="preserve">thus </w:t>
      </w:r>
      <w:r w:rsidRPr="00573FA5">
        <w:rPr>
          <w:rFonts w:ascii="Century Schoolbook" w:hAnsi="Century Schoolbook"/>
          <w:color w:val="000000" w:themeColor="text1"/>
        </w:rPr>
        <w:t xml:space="preserve">that is the role </w:t>
      </w:r>
      <w:r w:rsidR="00AB5F67">
        <w:rPr>
          <w:rFonts w:ascii="Century Schoolbook" w:hAnsi="Century Schoolbook"/>
          <w:color w:val="000000" w:themeColor="text1"/>
        </w:rPr>
        <w:t>a court</w:t>
      </w:r>
      <w:r w:rsidRPr="00573FA5">
        <w:rPr>
          <w:rFonts w:ascii="Century Schoolbook" w:hAnsi="Century Schoolbook"/>
          <w:color w:val="000000" w:themeColor="text1"/>
        </w:rPr>
        <w:t xml:space="preserve"> should keep in mind in thinking about bellwether cases. Bellwethers may suggest answers to litigants’ major questions: How well or poorly would these facts play to a jury? How credible and persuasive are the experts? Is the key evidence admissible? These types of questions </w:t>
      </w:r>
      <w:r w:rsidR="00AB5F67">
        <w:rPr>
          <w:rFonts w:ascii="Century Schoolbook" w:hAnsi="Century Schoolbook"/>
          <w:color w:val="000000" w:themeColor="text1"/>
        </w:rPr>
        <w:t xml:space="preserve">can have more impact </w:t>
      </w:r>
      <w:r>
        <w:rPr>
          <w:rFonts w:ascii="Century Schoolbook" w:hAnsi="Century Schoolbook"/>
          <w:color w:val="000000" w:themeColor="text1"/>
        </w:rPr>
        <w:t>than the amount of the verdict</w:t>
      </w:r>
      <w:r w:rsidR="00AB5F67">
        <w:rPr>
          <w:rFonts w:ascii="Century Schoolbook" w:hAnsi="Century Schoolbook"/>
          <w:color w:val="000000" w:themeColor="text1"/>
        </w:rPr>
        <w:t>,</w:t>
      </w:r>
      <w:r>
        <w:rPr>
          <w:rFonts w:ascii="Century Schoolbook" w:hAnsi="Century Schoolbook"/>
          <w:color w:val="000000" w:themeColor="text1"/>
        </w:rPr>
        <w:t xml:space="preserve"> and </w:t>
      </w:r>
      <w:r w:rsidRPr="00573FA5">
        <w:rPr>
          <w:rFonts w:ascii="Century Schoolbook" w:hAnsi="Century Schoolbook"/>
          <w:color w:val="000000" w:themeColor="text1"/>
        </w:rPr>
        <w:t>will drive the outcomes in motion practice and trial — and it is in the shadow of those expectations that settlement values will be reached, if settlement is to occur. It is important for the parties and the court to know how the cases will fare.</w:t>
      </w:r>
    </w:p>
    <w:p w:rsidR="00610156" w:rsidRPr="00573FA5" w:rsidRDefault="00610156" w:rsidP="00610156">
      <w:pPr>
        <w:pStyle w:val="BodyText"/>
        <w:ind w:firstLine="720"/>
        <w:contextualSpacing/>
        <w:rPr>
          <w:rFonts w:ascii="Century Schoolbook" w:hAnsi="Century Schoolbook"/>
          <w:color w:val="000000" w:themeColor="text1"/>
        </w:rPr>
      </w:pPr>
    </w:p>
    <w:p w:rsidR="00610156" w:rsidRPr="00573FA5" w:rsidRDefault="00CA3C6F" w:rsidP="00610156">
      <w:pPr>
        <w:pStyle w:val="BodyText"/>
        <w:ind w:firstLine="720"/>
        <w:contextualSpacing/>
        <w:rPr>
          <w:rFonts w:ascii="Century Schoolbook" w:hAnsi="Century Schoolbook"/>
          <w:color w:val="000000" w:themeColor="text1"/>
        </w:rPr>
      </w:pPr>
      <w:r w:rsidRPr="00573FA5">
        <w:rPr>
          <w:rFonts w:ascii="Century Schoolbook" w:hAnsi="Century Schoolbook"/>
          <w:color w:val="000000" w:themeColor="text1"/>
        </w:rPr>
        <w:t xml:space="preserve">But </w:t>
      </w:r>
      <w:r>
        <w:rPr>
          <w:rFonts w:ascii="Century Schoolbook" w:hAnsi="Century Schoolbook"/>
          <w:color w:val="000000" w:themeColor="text1"/>
        </w:rPr>
        <w:t>the bellwether process</w:t>
      </w:r>
      <w:r w:rsidRPr="00573FA5">
        <w:rPr>
          <w:rFonts w:ascii="Century Schoolbook" w:hAnsi="Century Schoolbook"/>
          <w:color w:val="000000" w:themeColor="text1"/>
        </w:rPr>
        <w:t xml:space="preserve"> also means obtaining a sufficient number of outcomes to provide guidance, given the variety of fact patterns, claims, and defenses anticipated. In asbestos litigation, the first ten verdicts were for the defense, but these early results did not foretell the overall litigation trend. The case-management plan should provide for a sufficient number of cases so that early </w:t>
      </w:r>
      <w:r w:rsidRPr="00573FA5">
        <w:rPr>
          <w:rFonts w:ascii="Century Schoolbook" w:hAnsi="Century Schoolbook"/>
          <w:color w:val="000000" w:themeColor="text1"/>
        </w:rPr>
        <w:lastRenderedPageBreak/>
        <w:t>outliers (in either direction) can be identified as such and the true path of litigation discerned to the maximum extent possible.</w:t>
      </w:r>
    </w:p>
    <w:p w:rsidR="00610156" w:rsidRPr="00573FA5" w:rsidRDefault="00610156" w:rsidP="00610156">
      <w:pPr>
        <w:pStyle w:val="BodyText"/>
        <w:ind w:firstLine="720"/>
        <w:contextualSpacing/>
        <w:rPr>
          <w:rFonts w:ascii="Century Schoolbook" w:hAnsi="Century Schoolbook"/>
          <w:color w:val="000000" w:themeColor="text1"/>
        </w:rPr>
      </w:pPr>
    </w:p>
    <w:p w:rsidR="00610156" w:rsidRPr="00573FA5" w:rsidRDefault="00CA3C6F" w:rsidP="00610156">
      <w:pPr>
        <w:pStyle w:val="BodyText"/>
        <w:ind w:firstLine="720"/>
        <w:contextualSpacing/>
        <w:rPr>
          <w:rFonts w:ascii="Century Schoolbook" w:hAnsi="Century Schoolbook"/>
          <w:color w:val="000000" w:themeColor="text1"/>
        </w:rPr>
      </w:pPr>
      <w:r w:rsidRPr="00573FA5">
        <w:rPr>
          <w:rFonts w:ascii="Century Schoolbook" w:hAnsi="Century Schoolbook"/>
          <w:color w:val="000000" w:themeColor="text1"/>
        </w:rPr>
        <w:t xml:space="preserve">Bellwethers need not go all the way to trial. Many bellwether cases resolve themselves along the way, whether because of errors in the plaintiff </w:t>
      </w:r>
      <w:r w:rsidR="00CA7DBE">
        <w:rPr>
          <w:rFonts w:ascii="Century Schoolbook" w:hAnsi="Century Schoolbook"/>
          <w:color w:val="000000" w:themeColor="text1"/>
        </w:rPr>
        <w:t xml:space="preserve">or defendant </w:t>
      </w:r>
      <w:r w:rsidRPr="00573FA5">
        <w:rPr>
          <w:rFonts w:ascii="Century Schoolbook" w:hAnsi="Century Schoolbook"/>
          <w:color w:val="000000" w:themeColor="text1"/>
        </w:rPr>
        <w:t xml:space="preserve">fact sheet, </w:t>
      </w:r>
      <w:r>
        <w:rPr>
          <w:rFonts w:ascii="Century Schoolbook" w:hAnsi="Century Schoolbook"/>
          <w:color w:val="000000" w:themeColor="text1"/>
        </w:rPr>
        <w:t>individualized</w:t>
      </w:r>
      <w:r w:rsidRPr="00573FA5">
        <w:rPr>
          <w:rFonts w:ascii="Century Schoolbook" w:hAnsi="Century Schoolbook"/>
          <w:color w:val="000000" w:themeColor="text1"/>
        </w:rPr>
        <w:t xml:space="preserve"> factors that strengthen or weaken the case during discovery that were not anticipated at the outset, the </w:t>
      </w:r>
      <w:r>
        <w:rPr>
          <w:rFonts w:ascii="Century Schoolbook" w:hAnsi="Century Schoolbook"/>
          <w:color w:val="000000" w:themeColor="text1"/>
        </w:rPr>
        <w:t>parties’</w:t>
      </w:r>
      <w:r w:rsidRPr="00573FA5">
        <w:rPr>
          <w:rFonts w:ascii="Century Schoolbook" w:hAnsi="Century Schoolbook"/>
          <w:color w:val="000000" w:themeColor="text1"/>
        </w:rPr>
        <w:t xml:space="preserve"> decision to settle particular cases, </w:t>
      </w:r>
      <w:r w:rsidR="00CA7DBE">
        <w:rPr>
          <w:rFonts w:ascii="Century Schoolbook" w:hAnsi="Century Schoolbook"/>
          <w:color w:val="000000" w:themeColor="text1"/>
        </w:rPr>
        <w:t xml:space="preserve">the plaintiff’s decision to voluntarily dismiss, </w:t>
      </w:r>
      <w:r w:rsidRPr="00573FA5">
        <w:rPr>
          <w:rFonts w:ascii="Century Schoolbook" w:hAnsi="Century Schoolbook"/>
          <w:color w:val="000000" w:themeColor="text1"/>
        </w:rPr>
        <w:t xml:space="preserve">or because of the court’s early rulings. These cases should not be regarded as failures. Instead, they </w:t>
      </w:r>
      <w:r w:rsidR="00CA7DBE">
        <w:rPr>
          <w:rFonts w:ascii="Century Schoolbook" w:hAnsi="Century Schoolbook"/>
          <w:color w:val="000000" w:themeColor="text1"/>
        </w:rPr>
        <w:t>can be</w:t>
      </w:r>
      <w:r w:rsidRPr="00573FA5">
        <w:rPr>
          <w:rFonts w:ascii="Century Schoolbook" w:hAnsi="Century Schoolbook"/>
          <w:color w:val="000000" w:themeColor="text1"/>
        </w:rPr>
        <w:t xml:space="preserve"> important data points that help the lawyers better understand the reality of the cases — which may vary considerably from the hypothetical plaintiff or hypothetical defenses that have been the idealized subject of early negotiations. Indeed, the reasons these cases drop out — gamesmanship, good advocacy, plaintiffs disappearing, defendants settling cases, the outcome of preliminary</w:t>
      </w:r>
      <w:r w:rsidR="00CA7DBE">
        <w:rPr>
          <w:rFonts w:ascii="Century Schoolbook" w:hAnsi="Century Schoolbook"/>
          <w:color w:val="000000" w:themeColor="text1"/>
        </w:rPr>
        <w:t xml:space="preserve"> or dispositive </w:t>
      </w:r>
      <w:r w:rsidRPr="00573FA5">
        <w:rPr>
          <w:rFonts w:ascii="Century Schoolbook" w:hAnsi="Century Schoolbook"/>
          <w:color w:val="000000" w:themeColor="text1"/>
        </w:rPr>
        <w:t>motions</w:t>
      </w:r>
      <w:r w:rsidR="00CA7DBE">
        <w:rPr>
          <w:rFonts w:ascii="Century Schoolbook" w:hAnsi="Century Schoolbook"/>
          <w:color w:val="000000" w:themeColor="text1"/>
        </w:rPr>
        <w:t xml:space="preserve"> </w:t>
      </w:r>
      <w:r w:rsidRPr="00573FA5">
        <w:rPr>
          <w:rFonts w:ascii="Century Schoolbook" w:hAnsi="Century Schoolbook"/>
          <w:color w:val="000000" w:themeColor="text1"/>
        </w:rPr>
        <w:t xml:space="preserve">— all </w:t>
      </w:r>
      <w:r w:rsidR="00CA7DBE">
        <w:rPr>
          <w:rFonts w:ascii="Century Schoolbook" w:hAnsi="Century Schoolbook"/>
          <w:color w:val="000000" w:themeColor="text1"/>
        </w:rPr>
        <w:t xml:space="preserve">potentially </w:t>
      </w:r>
      <w:r w:rsidRPr="00573FA5">
        <w:rPr>
          <w:rFonts w:ascii="Century Schoolbook" w:hAnsi="Century Schoolbook"/>
          <w:color w:val="000000" w:themeColor="text1"/>
        </w:rPr>
        <w:t xml:space="preserve">provide insight into how the broader pool of cases may fare. Yet, recognizing this, it is important that the judge select a larger pool of cases, </w:t>
      </w:r>
      <w:r>
        <w:rPr>
          <w:rFonts w:ascii="Century Schoolbook" w:hAnsi="Century Schoolbook"/>
          <w:color w:val="000000" w:themeColor="text1"/>
        </w:rPr>
        <w:t>anticipating</w:t>
      </w:r>
      <w:r w:rsidRPr="00573FA5">
        <w:rPr>
          <w:rFonts w:ascii="Century Schoolbook" w:hAnsi="Century Schoolbook"/>
          <w:color w:val="000000" w:themeColor="text1"/>
        </w:rPr>
        <w:t xml:space="preserve"> that </w:t>
      </w:r>
      <w:r w:rsidR="00CA7DBE">
        <w:rPr>
          <w:rFonts w:ascii="Century Schoolbook" w:hAnsi="Century Schoolbook"/>
          <w:color w:val="000000" w:themeColor="text1"/>
        </w:rPr>
        <w:t>some</w:t>
      </w:r>
      <w:r w:rsidRPr="00573FA5">
        <w:rPr>
          <w:rFonts w:ascii="Century Schoolbook" w:hAnsi="Century Schoolbook"/>
          <w:color w:val="000000" w:themeColor="text1"/>
        </w:rPr>
        <w:t xml:space="preserve"> will resolve at a variety of points in the bellwether litigation process.</w:t>
      </w:r>
    </w:p>
    <w:p w:rsidR="00610156" w:rsidRDefault="00610156" w:rsidP="00610156">
      <w:pPr>
        <w:pStyle w:val="BodyText"/>
        <w:ind w:firstLine="720"/>
        <w:contextualSpacing/>
        <w:rPr>
          <w:rFonts w:ascii="Century Schoolbook" w:hAnsi="Century Schoolbook"/>
          <w:color w:val="000000" w:themeColor="text1"/>
        </w:rPr>
      </w:pPr>
    </w:p>
    <w:p w:rsidR="00610156" w:rsidRPr="00573FA5" w:rsidRDefault="00CA3C6F" w:rsidP="00610156">
      <w:pPr>
        <w:pStyle w:val="BodyText"/>
        <w:ind w:firstLine="720"/>
        <w:contextualSpacing/>
        <w:rPr>
          <w:rFonts w:ascii="Century Schoolbook" w:hAnsi="Century Schoolbook"/>
          <w:color w:val="000000" w:themeColor="text1"/>
        </w:rPr>
      </w:pPr>
      <w:r w:rsidRPr="00573FA5">
        <w:rPr>
          <w:rFonts w:ascii="Century Schoolbook" w:hAnsi="Century Schoolbook"/>
          <w:color w:val="000000" w:themeColor="text1"/>
        </w:rPr>
        <w:t xml:space="preserve">Bellwether trials may provide useful information to the parties regarding the likely outcome of other cases at trial, such as: (a) how well or poorly the parties’ fact and expert witnesses perform in a trial setting; and (b) decisions on key legal issues and the admissibility of key evidence. As recognized by the </w:t>
      </w:r>
      <w:r w:rsidRPr="00573FA5">
        <w:rPr>
          <w:rFonts w:ascii="Century Schoolbook" w:hAnsi="Century Schoolbook"/>
          <w:i/>
          <w:color w:val="000000" w:themeColor="text1"/>
        </w:rPr>
        <w:t>Manual for Complex Litigation</w:t>
      </w:r>
      <w:r w:rsidRPr="00573FA5">
        <w:rPr>
          <w:rFonts w:ascii="Century Schoolbook" w:hAnsi="Century Schoolbook"/>
          <w:color w:val="000000" w:themeColor="text1"/>
        </w:rPr>
        <w:t>, the purpose of bellwether trials is to “produce a sufficient number of representative verdicts” to “enable the parties and the court to determine the nature and strength of the claims, whether they can be fairly developed and litigated on a group basis, and what range of values the cases may have if resolution is attempted on a group basis.”</w:t>
      </w:r>
      <w:r>
        <w:rPr>
          <w:rStyle w:val="FootnoteReference"/>
          <w:rFonts w:ascii="Century Schoolbook" w:hAnsi="Century Schoolbook"/>
          <w:color w:val="000000" w:themeColor="text1"/>
        </w:rPr>
        <w:footnoteReference w:id="9"/>
      </w:r>
      <w:r w:rsidRPr="00573FA5">
        <w:rPr>
          <w:rFonts w:ascii="Century Schoolbook" w:hAnsi="Century Schoolbook"/>
          <w:color w:val="000000" w:themeColor="text1"/>
          <w:position w:val="11"/>
        </w:rPr>
        <w:t xml:space="preserve"> </w:t>
      </w:r>
      <w:r w:rsidRPr="00573FA5">
        <w:rPr>
          <w:rFonts w:ascii="Century Schoolbook" w:hAnsi="Century Schoolbook"/>
          <w:color w:val="000000" w:themeColor="text1"/>
        </w:rPr>
        <w:t>As such, the bellwether process will be valuable only if the cases selected for trial are truly representative of the whole (or of one or more distinct categories of cases that comprise the whole).</w:t>
      </w:r>
      <w:bookmarkStart w:id="1" w:name="_Ref507221004"/>
      <w:r>
        <w:rPr>
          <w:rStyle w:val="FootnoteReference"/>
          <w:rFonts w:ascii="Century Schoolbook" w:hAnsi="Century Schoolbook"/>
          <w:color w:val="000000" w:themeColor="text1"/>
        </w:rPr>
        <w:footnoteReference w:id="10"/>
      </w:r>
      <w:bookmarkEnd w:id="1"/>
    </w:p>
    <w:p w:rsidR="00610156" w:rsidRPr="00573FA5" w:rsidRDefault="00610156" w:rsidP="00610156">
      <w:pPr>
        <w:pStyle w:val="BodyText"/>
        <w:ind w:left="119" w:right="115" w:firstLine="720"/>
        <w:contextualSpacing/>
        <w:rPr>
          <w:rFonts w:ascii="Century Schoolbook" w:hAnsi="Century Schoolbook"/>
          <w:color w:val="000000" w:themeColor="text1"/>
        </w:rPr>
      </w:pPr>
    </w:p>
    <w:p w:rsidR="00610156" w:rsidRPr="00573FA5" w:rsidRDefault="00CA3C6F" w:rsidP="00610156">
      <w:pPr>
        <w:pStyle w:val="BodyText"/>
        <w:ind w:firstLine="600"/>
        <w:contextualSpacing/>
        <w:rPr>
          <w:rFonts w:ascii="Century Schoolbook" w:hAnsi="Century Schoolbook"/>
          <w:color w:val="000000" w:themeColor="text1"/>
        </w:rPr>
      </w:pPr>
      <w:r w:rsidRPr="00573FA5">
        <w:rPr>
          <w:rFonts w:ascii="Century Schoolbook" w:hAnsi="Century Schoolbook"/>
          <w:color w:val="000000" w:themeColor="text1"/>
        </w:rPr>
        <w:t>Of course, recognizing this purpose opens the door to strategic manipulation</w:t>
      </w:r>
      <w:r>
        <w:rPr>
          <w:rFonts w:ascii="Century Schoolbook" w:hAnsi="Century Schoolbook"/>
          <w:color w:val="000000" w:themeColor="text1"/>
        </w:rPr>
        <w:t xml:space="preserve"> by the parties</w:t>
      </w:r>
      <w:r w:rsidRPr="00573FA5">
        <w:rPr>
          <w:rFonts w:ascii="Century Schoolbook" w:hAnsi="Century Schoolbook"/>
          <w:color w:val="000000" w:themeColor="text1"/>
        </w:rPr>
        <w:t xml:space="preserve">. The transferee judge must carefully consider how the bellwether </w:t>
      </w:r>
      <w:r w:rsidRPr="00573FA5">
        <w:rPr>
          <w:rFonts w:ascii="Century Schoolbook" w:hAnsi="Century Schoolbook"/>
          <w:color w:val="000000" w:themeColor="text1"/>
        </w:rPr>
        <w:lastRenderedPageBreak/>
        <w:t xml:space="preserve">selection process will work, and how to address cases that drop out of the pool, to minimize the influence of strategic behavior and enhance the value of the bellwether process. Later in the process, counsel may strategically settle cases as they are proved to be particularly strong or weak compared to the expected baseline. </w:t>
      </w:r>
    </w:p>
    <w:p w:rsidR="00610156" w:rsidRPr="00573FA5" w:rsidRDefault="00610156" w:rsidP="00610156">
      <w:pPr>
        <w:pStyle w:val="BodyText"/>
        <w:ind w:firstLine="600"/>
        <w:contextualSpacing/>
        <w:rPr>
          <w:rFonts w:ascii="Century Schoolbook" w:hAnsi="Century Schoolbook"/>
          <w:color w:val="000000" w:themeColor="text1"/>
        </w:rPr>
      </w:pPr>
    </w:p>
    <w:p w:rsidR="00CA7DBE" w:rsidRDefault="00CA3C6F" w:rsidP="00610156">
      <w:pPr>
        <w:pStyle w:val="BodyText"/>
        <w:ind w:firstLine="600"/>
        <w:contextualSpacing/>
        <w:rPr>
          <w:rFonts w:ascii="Century Schoolbook" w:hAnsi="Century Schoolbook"/>
          <w:color w:val="000000" w:themeColor="text1"/>
          <w:spacing w:val="18"/>
        </w:rPr>
      </w:pPr>
      <w:r w:rsidRPr="00573FA5">
        <w:rPr>
          <w:rFonts w:ascii="Century Schoolbook" w:hAnsi="Century Schoolbook"/>
          <w:color w:val="000000" w:themeColor="text1"/>
        </w:rPr>
        <w:t xml:space="preserve">The judge will also need to consider whether to broaden the pool of potential bellwether cases. For example, through </w:t>
      </w:r>
      <w:r w:rsidRPr="00573FA5">
        <w:rPr>
          <w:rFonts w:ascii="Century Schoolbook" w:hAnsi="Century Schoolbook"/>
          <w:i/>
          <w:color w:val="000000" w:themeColor="text1"/>
        </w:rPr>
        <w:t>Lexecon</w:t>
      </w:r>
      <w:r>
        <w:rPr>
          <w:rStyle w:val="FootnoteReference"/>
          <w:rFonts w:ascii="Century Schoolbook" w:hAnsi="Century Schoolbook"/>
          <w:color w:val="000000" w:themeColor="text1"/>
        </w:rPr>
        <w:footnoteReference w:id="11"/>
      </w:r>
      <w:r w:rsidRPr="00573FA5">
        <w:rPr>
          <w:rFonts w:ascii="Century Schoolbook" w:hAnsi="Century Schoolbook"/>
          <w:i/>
          <w:color w:val="000000" w:themeColor="text1"/>
        </w:rPr>
        <w:t xml:space="preserve"> </w:t>
      </w:r>
      <w:r w:rsidRPr="00573FA5">
        <w:rPr>
          <w:rFonts w:ascii="Century Schoolbook" w:hAnsi="Century Schoolbook"/>
          <w:color w:val="000000" w:themeColor="text1"/>
        </w:rPr>
        <w:t>waivers or trying cases in their originating district (unless barred by the Ninth Circuit ruling,</w:t>
      </w:r>
      <w:bookmarkStart w:id="2" w:name="_Ref501978653"/>
      <w:r>
        <w:rPr>
          <w:rStyle w:val="FootnoteReference"/>
          <w:rFonts w:ascii="Century Schoolbook" w:hAnsi="Century Schoolbook"/>
          <w:color w:val="000000" w:themeColor="text1"/>
        </w:rPr>
        <w:footnoteReference w:id="12"/>
      </w:r>
      <w:bookmarkEnd w:id="2"/>
      <w:r w:rsidRPr="00573FA5">
        <w:rPr>
          <w:rFonts w:ascii="Century Schoolbook" w:hAnsi="Century Schoolbook"/>
          <w:color w:val="000000" w:themeColor="text1"/>
        </w:rPr>
        <w:t xml:space="preserve"> which prevents inter-circuit assignment solely for</w:t>
      </w:r>
      <w:r w:rsidRPr="00573FA5">
        <w:rPr>
          <w:rFonts w:ascii="Century Schoolbook" w:hAnsi="Century Schoolbook"/>
          <w:color w:val="000000" w:themeColor="text1"/>
          <w:spacing w:val="8"/>
        </w:rPr>
        <w:t xml:space="preserve"> </w:t>
      </w:r>
      <w:r w:rsidRPr="00573FA5">
        <w:rPr>
          <w:rFonts w:ascii="Century Schoolbook" w:hAnsi="Century Schoolbook"/>
          <w:color w:val="000000" w:themeColor="text1"/>
        </w:rPr>
        <w:t>these</w:t>
      </w:r>
      <w:r w:rsidRPr="00573FA5">
        <w:rPr>
          <w:rFonts w:ascii="Century Schoolbook" w:hAnsi="Century Schoolbook"/>
          <w:color w:val="000000" w:themeColor="text1"/>
          <w:spacing w:val="8"/>
        </w:rPr>
        <w:t xml:space="preserve"> </w:t>
      </w:r>
      <w:r w:rsidRPr="00573FA5">
        <w:rPr>
          <w:rFonts w:ascii="Century Schoolbook" w:hAnsi="Century Schoolbook"/>
          <w:color w:val="000000" w:themeColor="text1"/>
        </w:rPr>
        <w:t xml:space="preserve">purposes), the transferee judge may be able to </w:t>
      </w:r>
      <w:r>
        <w:rPr>
          <w:rFonts w:ascii="Century Schoolbook" w:hAnsi="Century Schoolbook"/>
          <w:color w:val="000000" w:themeColor="text1"/>
        </w:rPr>
        <w:t xml:space="preserve">obtain authority to </w:t>
      </w:r>
      <w:r w:rsidRPr="00573FA5">
        <w:rPr>
          <w:rFonts w:ascii="Century Schoolbook" w:hAnsi="Century Schoolbook"/>
          <w:color w:val="000000" w:themeColor="text1"/>
        </w:rPr>
        <w:t>try cases not filed in the transferee district.</w:t>
      </w:r>
      <w:r w:rsidRPr="00573FA5">
        <w:rPr>
          <w:rFonts w:ascii="Century Schoolbook" w:hAnsi="Century Schoolbook"/>
          <w:color w:val="000000" w:themeColor="text1"/>
          <w:spacing w:val="18"/>
        </w:rPr>
        <w:t xml:space="preserve"> </w:t>
      </w:r>
    </w:p>
    <w:p w:rsidR="00CA7DBE" w:rsidRDefault="00CA7DBE" w:rsidP="00610156">
      <w:pPr>
        <w:pStyle w:val="BodyText"/>
        <w:ind w:firstLine="600"/>
        <w:contextualSpacing/>
        <w:rPr>
          <w:rFonts w:ascii="Century Schoolbook" w:hAnsi="Century Schoolbook"/>
          <w:color w:val="000000" w:themeColor="text1"/>
          <w:spacing w:val="18"/>
        </w:rPr>
      </w:pPr>
    </w:p>
    <w:p w:rsidR="00610156" w:rsidRPr="00573FA5" w:rsidRDefault="00CA3C6F" w:rsidP="00610156">
      <w:pPr>
        <w:pStyle w:val="BodyText"/>
        <w:ind w:firstLine="600"/>
        <w:contextualSpacing/>
        <w:rPr>
          <w:rFonts w:ascii="Century Schoolbook" w:hAnsi="Century Schoolbook"/>
          <w:color w:val="000000" w:themeColor="text1"/>
        </w:rPr>
      </w:pPr>
      <w:r w:rsidRPr="00573FA5">
        <w:rPr>
          <w:rFonts w:ascii="Century Schoolbook" w:hAnsi="Century Schoolbook"/>
          <w:color w:val="000000" w:themeColor="text1"/>
        </w:rPr>
        <w:t>In</w:t>
      </w:r>
      <w:r w:rsidRPr="00573FA5">
        <w:rPr>
          <w:rFonts w:ascii="Century Schoolbook" w:hAnsi="Century Schoolbook"/>
          <w:color w:val="000000" w:themeColor="text1"/>
          <w:spacing w:val="8"/>
        </w:rPr>
        <w:t xml:space="preserve"> </w:t>
      </w:r>
      <w:r w:rsidRPr="00573FA5">
        <w:rPr>
          <w:rFonts w:ascii="Century Schoolbook" w:hAnsi="Century Schoolbook"/>
          <w:color w:val="000000" w:themeColor="text1"/>
        </w:rPr>
        <w:t>addition,</w:t>
      </w:r>
      <w:r w:rsidRPr="00573FA5">
        <w:rPr>
          <w:rFonts w:ascii="Century Schoolbook" w:hAnsi="Century Schoolbook"/>
          <w:color w:val="000000" w:themeColor="text1"/>
          <w:spacing w:val="8"/>
        </w:rPr>
        <w:t xml:space="preserve"> </w:t>
      </w:r>
      <w:r w:rsidRPr="00573FA5">
        <w:rPr>
          <w:rFonts w:ascii="Century Schoolbook" w:hAnsi="Century Schoolbook"/>
          <w:color w:val="000000" w:themeColor="text1"/>
        </w:rPr>
        <w:t>the</w:t>
      </w:r>
      <w:r w:rsidRPr="00573FA5">
        <w:rPr>
          <w:rFonts w:ascii="Century Schoolbook" w:hAnsi="Century Schoolbook"/>
          <w:color w:val="000000" w:themeColor="text1"/>
          <w:spacing w:val="8"/>
        </w:rPr>
        <w:t xml:space="preserve"> </w:t>
      </w:r>
      <w:r w:rsidRPr="00573FA5">
        <w:rPr>
          <w:rFonts w:ascii="Century Schoolbook" w:hAnsi="Century Schoolbook"/>
          <w:color w:val="000000" w:themeColor="text1"/>
        </w:rPr>
        <w:t>judge</w:t>
      </w:r>
      <w:r w:rsidRPr="00573FA5">
        <w:rPr>
          <w:rFonts w:ascii="Century Schoolbook" w:hAnsi="Century Schoolbook"/>
          <w:color w:val="000000" w:themeColor="text1"/>
          <w:spacing w:val="8"/>
        </w:rPr>
        <w:t xml:space="preserve"> </w:t>
      </w:r>
      <w:r w:rsidRPr="00573FA5">
        <w:rPr>
          <w:rFonts w:ascii="Century Schoolbook" w:hAnsi="Century Schoolbook"/>
          <w:color w:val="000000" w:themeColor="text1"/>
        </w:rPr>
        <w:t>should</w:t>
      </w:r>
      <w:r w:rsidRPr="00573FA5">
        <w:rPr>
          <w:rFonts w:ascii="Century Schoolbook" w:hAnsi="Century Schoolbook"/>
          <w:color w:val="000000" w:themeColor="text1"/>
          <w:spacing w:val="8"/>
        </w:rPr>
        <w:t xml:space="preserve"> </w:t>
      </w:r>
      <w:r w:rsidRPr="00573FA5">
        <w:rPr>
          <w:rFonts w:ascii="Century Schoolbook" w:hAnsi="Century Schoolbook"/>
          <w:color w:val="000000" w:themeColor="text1"/>
        </w:rPr>
        <w:t>be</w:t>
      </w:r>
      <w:r w:rsidRPr="00573FA5">
        <w:rPr>
          <w:rFonts w:ascii="Century Schoolbook" w:hAnsi="Century Schoolbook"/>
          <w:color w:val="000000" w:themeColor="text1"/>
          <w:spacing w:val="8"/>
        </w:rPr>
        <w:t xml:space="preserve"> </w:t>
      </w:r>
      <w:r>
        <w:rPr>
          <w:rFonts w:ascii="Century Schoolbook" w:hAnsi="Century Schoolbook"/>
          <w:color w:val="000000" w:themeColor="text1"/>
        </w:rPr>
        <w:t>alert to</w:t>
      </w:r>
      <w:r w:rsidRPr="00573FA5">
        <w:rPr>
          <w:rFonts w:ascii="Century Schoolbook" w:hAnsi="Century Schoolbook"/>
          <w:color w:val="000000" w:themeColor="text1"/>
          <w:spacing w:val="8"/>
        </w:rPr>
        <w:t xml:space="preserve"> </w:t>
      </w:r>
      <w:r w:rsidRPr="00573FA5">
        <w:rPr>
          <w:rFonts w:ascii="Century Schoolbook" w:hAnsi="Century Schoolbook"/>
          <w:color w:val="000000" w:themeColor="text1"/>
        </w:rPr>
        <w:t>the</w:t>
      </w:r>
      <w:r w:rsidRPr="00573FA5">
        <w:rPr>
          <w:rFonts w:ascii="Century Schoolbook" w:hAnsi="Century Schoolbook"/>
          <w:color w:val="000000" w:themeColor="text1"/>
          <w:spacing w:val="8"/>
        </w:rPr>
        <w:t xml:space="preserve"> </w:t>
      </w:r>
      <w:r w:rsidRPr="00573FA5">
        <w:rPr>
          <w:rFonts w:ascii="Century Schoolbook" w:hAnsi="Century Schoolbook"/>
          <w:color w:val="000000" w:themeColor="text1"/>
        </w:rPr>
        <w:t>origin</w:t>
      </w:r>
      <w:r w:rsidRPr="00573FA5">
        <w:rPr>
          <w:rFonts w:ascii="Century Schoolbook" w:hAnsi="Century Schoolbook"/>
          <w:color w:val="000000" w:themeColor="text1"/>
          <w:spacing w:val="8"/>
        </w:rPr>
        <w:t xml:space="preserve"> </w:t>
      </w:r>
      <w:r w:rsidRPr="00573FA5">
        <w:rPr>
          <w:rFonts w:ascii="Century Schoolbook" w:hAnsi="Century Schoolbook"/>
          <w:color w:val="000000" w:themeColor="text1"/>
        </w:rPr>
        <w:t>of</w:t>
      </w:r>
      <w:r w:rsidRPr="00573FA5">
        <w:rPr>
          <w:rFonts w:ascii="Century Schoolbook" w:hAnsi="Century Schoolbook"/>
          <w:color w:val="000000" w:themeColor="text1"/>
          <w:spacing w:val="8"/>
        </w:rPr>
        <w:t xml:space="preserve"> </w:t>
      </w:r>
      <w:r w:rsidRPr="00573FA5">
        <w:rPr>
          <w:rFonts w:ascii="Century Schoolbook" w:hAnsi="Century Schoolbook"/>
          <w:color w:val="000000" w:themeColor="text1"/>
        </w:rPr>
        <w:t>the</w:t>
      </w:r>
      <w:r w:rsidRPr="00573FA5">
        <w:rPr>
          <w:rFonts w:ascii="Century Schoolbook" w:hAnsi="Century Schoolbook"/>
          <w:color w:val="000000" w:themeColor="text1"/>
          <w:spacing w:val="8"/>
        </w:rPr>
        <w:t xml:space="preserve"> </w:t>
      </w:r>
      <w:r w:rsidRPr="00573FA5">
        <w:rPr>
          <w:rFonts w:ascii="Century Schoolbook" w:hAnsi="Century Schoolbook"/>
          <w:color w:val="000000" w:themeColor="text1"/>
        </w:rPr>
        <w:t>bellwether</w:t>
      </w:r>
      <w:r w:rsidRPr="00573FA5">
        <w:rPr>
          <w:rFonts w:ascii="Century Schoolbook" w:hAnsi="Century Schoolbook"/>
          <w:color w:val="000000" w:themeColor="text1"/>
          <w:spacing w:val="8"/>
        </w:rPr>
        <w:t xml:space="preserve"> </w:t>
      </w:r>
      <w:r w:rsidRPr="00573FA5">
        <w:rPr>
          <w:rFonts w:ascii="Century Schoolbook" w:hAnsi="Century Schoolbook"/>
          <w:color w:val="000000" w:themeColor="text1"/>
        </w:rPr>
        <w:t xml:space="preserve">cases — is the case one in which </w:t>
      </w:r>
      <w:r>
        <w:rPr>
          <w:rFonts w:ascii="Century Schoolbook" w:hAnsi="Century Schoolbook"/>
          <w:color w:val="000000" w:themeColor="text1"/>
        </w:rPr>
        <w:t xml:space="preserve">the plaintiff is represented by </w:t>
      </w:r>
      <w:r w:rsidR="00CA7DBE">
        <w:rPr>
          <w:rFonts w:ascii="Century Schoolbook" w:hAnsi="Century Schoolbook"/>
          <w:color w:val="000000" w:themeColor="text1"/>
        </w:rPr>
        <w:t>counsel</w:t>
      </w:r>
      <w:r>
        <w:rPr>
          <w:rFonts w:ascii="Century Schoolbook" w:hAnsi="Century Schoolbook"/>
          <w:color w:val="000000" w:themeColor="text1"/>
        </w:rPr>
        <w:t xml:space="preserve"> </w:t>
      </w:r>
      <w:r w:rsidRPr="00573FA5">
        <w:rPr>
          <w:rFonts w:ascii="Century Schoolbook" w:hAnsi="Century Schoolbook"/>
          <w:color w:val="000000" w:themeColor="text1"/>
        </w:rPr>
        <w:t>not active in the MDL</w:t>
      </w:r>
      <w:r w:rsidR="00CA7DBE">
        <w:rPr>
          <w:rFonts w:ascii="Century Schoolbook" w:hAnsi="Century Schoolbook"/>
          <w:color w:val="000000" w:themeColor="text1"/>
        </w:rPr>
        <w:t>; or does the case include someone from the Plaintiff Executive Committee, a PSC member, or another attorney active in the MDL</w:t>
      </w:r>
      <w:r w:rsidRPr="00573FA5">
        <w:rPr>
          <w:rFonts w:ascii="Century Schoolbook" w:hAnsi="Century Schoolbook"/>
          <w:color w:val="000000" w:themeColor="text1"/>
        </w:rPr>
        <w:t xml:space="preserve">? </w:t>
      </w:r>
      <w:r w:rsidR="00CA7DBE">
        <w:rPr>
          <w:rFonts w:ascii="Century Schoolbook" w:hAnsi="Century Schoolbook"/>
          <w:color w:val="000000" w:themeColor="text1"/>
        </w:rPr>
        <w:t xml:space="preserve"> </w:t>
      </w:r>
      <w:r w:rsidRPr="00573FA5">
        <w:rPr>
          <w:rFonts w:ascii="Century Schoolbook" w:hAnsi="Century Schoolbook"/>
          <w:color w:val="000000" w:themeColor="text1"/>
        </w:rPr>
        <w:t xml:space="preserve">If the PSC is unable to control the litigation </w:t>
      </w:r>
      <w:r>
        <w:rPr>
          <w:rFonts w:ascii="Century Schoolbook" w:hAnsi="Century Schoolbook"/>
          <w:color w:val="000000" w:themeColor="text1"/>
        </w:rPr>
        <w:t>of a bellwether case</w:t>
      </w:r>
      <w:r w:rsidRPr="00573FA5">
        <w:rPr>
          <w:rFonts w:ascii="Century Schoolbook" w:hAnsi="Century Schoolbook"/>
          <w:color w:val="000000" w:themeColor="text1"/>
        </w:rPr>
        <w:t xml:space="preserve">, </w:t>
      </w:r>
      <w:r>
        <w:rPr>
          <w:rFonts w:ascii="Century Schoolbook" w:hAnsi="Century Schoolbook"/>
          <w:color w:val="000000" w:themeColor="text1"/>
        </w:rPr>
        <w:t xml:space="preserve">it may not treat </w:t>
      </w:r>
      <w:r w:rsidRPr="00573FA5">
        <w:rPr>
          <w:rFonts w:ascii="Century Schoolbook" w:hAnsi="Century Schoolbook"/>
          <w:color w:val="000000" w:themeColor="text1"/>
        </w:rPr>
        <w:t xml:space="preserve">the result as </w:t>
      </w:r>
      <w:r>
        <w:rPr>
          <w:rFonts w:ascii="Century Schoolbook" w:hAnsi="Century Schoolbook"/>
          <w:color w:val="000000" w:themeColor="text1"/>
        </w:rPr>
        <w:t xml:space="preserve">being </w:t>
      </w:r>
      <w:r w:rsidRPr="00573FA5">
        <w:rPr>
          <w:rFonts w:ascii="Century Schoolbook" w:hAnsi="Century Schoolbook"/>
          <w:color w:val="000000" w:themeColor="text1"/>
        </w:rPr>
        <w:t xml:space="preserve">indicative. </w:t>
      </w:r>
      <w:r w:rsidR="00CA7DBE">
        <w:rPr>
          <w:rFonts w:ascii="Century Schoolbook" w:hAnsi="Century Schoolbook"/>
          <w:color w:val="000000" w:themeColor="text1"/>
        </w:rPr>
        <w:t>Some</w:t>
      </w:r>
      <w:r w:rsidRPr="00573FA5">
        <w:rPr>
          <w:rFonts w:ascii="Century Schoolbook" w:hAnsi="Century Schoolbook"/>
          <w:color w:val="000000" w:themeColor="text1"/>
        </w:rPr>
        <w:t xml:space="preserve"> cases are outliers with unique causation issues, damages, or defenses — particularly in pharmaceutical cases — and thus careful attention must be paid to selecting cases that will advance the </w:t>
      </w:r>
      <w:r>
        <w:rPr>
          <w:rFonts w:ascii="Century Schoolbook" w:hAnsi="Century Schoolbook"/>
          <w:color w:val="000000" w:themeColor="text1"/>
        </w:rPr>
        <w:t xml:space="preserve">goals of the </w:t>
      </w:r>
      <w:r w:rsidRPr="00573FA5">
        <w:rPr>
          <w:rFonts w:ascii="Century Schoolbook" w:hAnsi="Century Schoolbook"/>
          <w:color w:val="000000" w:themeColor="text1"/>
        </w:rPr>
        <w:t>MDL</w:t>
      </w:r>
      <w:r>
        <w:rPr>
          <w:rFonts w:ascii="Century Schoolbook" w:hAnsi="Century Schoolbook"/>
          <w:color w:val="000000" w:themeColor="text1"/>
        </w:rPr>
        <w:t xml:space="preserve"> as a whole</w:t>
      </w:r>
      <w:r w:rsidRPr="00573FA5">
        <w:rPr>
          <w:rFonts w:ascii="Century Schoolbook" w:hAnsi="Century Schoolbook"/>
          <w:color w:val="000000" w:themeColor="text1"/>
        </w:rPr>
        <w:t xml:space="preserve">. </w:t>
      </w:r>
      <w:r>
        <w:rPr>
          <w:rFonts w:ascii="Century Schoolbook" w:hAnsi="Century Schoolbook"/>
          <w:color w:val="000000" w:themeColor="text1"/>
        </w:rPr>
        <w:t>Conversely, i</w:t>
      </w:r>
      <w:r w:rsidRPr="00573FA5">
        <w:rPr>
          <w:rFonts w:ascii="Century Schoolbook" w:hAnsi="Century Schoolbook"/>
          <w:color w:val="000000" w:themeColor="text1"/>
        </w:rPr>
        <w:t>t may well be that some of the best cases were not filed by the MDL leadership. As discussed in this section, there are many ways of selecting the bellwether cases to balance the competing needs of the bellwether MDL process.</w:t>
      </w:r>
    </w:p>
    <w:p w:rsidR="00610156" w:rsidRPr="00573FA5" w:rsidRDefault="00610156" w:rsidP="00610156">
      <w:pPr>
        <w:pStyle w:val="BodyText"/>
        <w:ind w:firstLine="600"/>
        <w:contextualSpacing/>
        <w:rPr>
          <w:rFonts w:ascii="Century Schoolbook" w:hAnsi="Century Schoolbook"/>
          <w:color w:val="000000" w:themeColor="text1"/>
        </w:rPr>
      </w:pPr>
    </w:p>
    <w:p w:rsidR="00610156" w:rsidRPr="00573FA5" w:rsidRDefault="00CA3C6F" w:rsidP="00610156">
      <w:pPr>
        <w:pStyle w:val="BodyText"/>
        <w:ind w:firstLine="720"/>
        <w:contextualSpacing/>
        <w:rPr>
          <w:rFonts w:ascii="Century Schoolbook" w:hAnsi="Century Schoolbook"/>
          <w:color w:val="000000" w:themeColor="text1"/>
        </w:rPr>
      </w:pPr>
      <w:r>
        <w:rPr>
          <w:rFonts w:ascii="Century Schoolbook" w:hAnsi="Century Schoolbook"/>
          <w:color w:val="000000" w:themeColor="text1"/>
        </w:rPr>
        <w:t>Case</w:t>
      </w:r>
      <w:r w:rsidRPr="00573FA5">
        <w:rPr>
          <w:rFonts w:ascii="Century Schoolbook" w:hAnsi="Century Schoolbook"/>
          <w:color w:val="000000" w:themeColor="text1"/>
        </w:rPr>
        <w:t xml:space="preserve"> selection should be attuned to the goals of the parties and court in pursuing a bellwether process. For example, are counsel trying to determine the distribution and range of claims, or how particular types of claims will fare through the litigation process (and, the damages that will be awarded, if any)? Given these goals, the judge should create a selection process that will identify cases conducive to those aims and should communicate selection criteria to counsel. For example, does the judge want the parties to propose their strongest cases, or does the judge want to see cases that </w:t>
      </w:r>
      <w:r w:rsidR="00CA7DBE">
        <w:rPr>
          <w:rFonts w:ascii="Century Schoolbook" w:hAnsi="Century Schoolbook"/>
          <w:color w:val="000000" w:themeColor="text1"/>
        </w:rPr>
        <w:t>explore</w:t>
      </w:r>
      <w:r w:rsidRPr="00573FA5">
        <w:rPr>
          <w:rFonts w:ascii="Century Schoolbook" w:hAnsi="Century Schoolbook"/>
          <w:color w:val="000000" w:themeColor="text1"/>
        </w:rPr>
        <w:t xml:space="preserve"> certain contested issues? </w:t>
      </w:r>
    </w:p>
    <w:p w:rsidR="00610156" w:rsidRPr="00573FA5" w:rsidRDefault="00610156" w:rsidP="00610156">
      <w:pPr>
        <w:pStyle w:val="BodyText"/>
        <w:ind w:firstLine="720"/>
        <w:contextualSpacing/>
        <w:jc w:val="both"/>
        <w:rPr>
          <w:rFonts w:ascii="Century Schoolbook" w:hAnsi="Century Schoolbook"/>
          <w:color w:val="000000" w:themeColor="text1"/>
        </w:rPr>
      </w:pPr>
    </w:p>
    <w:p w:rsidR="00610156" w:rsidRPr="00573FA5" w:rsidRDefault="00CA3C6F" w:rsidP="00610156">
      <w:pPr>
        <w:pStyle w:val="BodyText"/>
        <w:ind w:firstLine="720"/>
        <w:contextualSpacing/>
        <w:rPr>
          <w:rFonts w:ascii="Century Schoolbook" w:hAnsi="Century Schoolbook"/>
          <w:color w:val="000000" w:themeColor="text1"/>
        </w:rPr>
      </w:pPr>
      <w:r>
        <w:rPr>
          <w:rFonts w:ascii="Century Schoolbook" w:hAnsi="Century Schoolbook"/>
          <w:color w:val="000000" w:themeColor="text1"/>
        </w:rPr>
        <w:t xml:space="preserve">Usually, </w:t>
      </w:r>
      <w:r w:rsidR="00CA7DBE">
        <w:rPr>
          <w:rFonts w:ascii="Century Schoolbook" w:hAnsi="Century Schoolbook"/>
          <w:color w:val="000000" w:themeColor="text1"/>
        </w:rPr>
        <w:t>a</w:t>
      </w:r>
      <w:r w:rsidRPr="00573FA5">
        <w:rPr>
          <w:rFonts w:ascii="Century Schoolbook" w:hAnsi="Century Schoolbook"/>
          <w:color w:val="000000" w:themeColor="text1"/>
        </w:rPr>
        <w:t xml:space="preserve"> judge should be skeptical of the value provided by trying one side’s “strong” cases that may not be representative of the broader claims; for example, cases with a particularly sympathetic plaintiff or a case with a strong non-merits defense, such as the statute of limitations. </w:t>
      </w:r>
      <w:r>
        <w:rPr>
          <w:rFonts w:ascii="Century Schoolbook" w:hAnsi="Century Schoolbook"/>
          <w:color w:val="000000" w:themeColor="text1"/>
        </w:rPr>
        <w:t>While b</w:t>
      </w:r>
      <w:r w:rsidRPr="00573FA5">
        <w:rPr>
          <w:rFonts w:ascii="Century Schoolbook" w:hAnsi="Century Schoolbook"/>
          <w:color w:val="000000" w:themeColor="text1"/>
        </w:rPr>
        <w:t>oth approaches may be appropriate</w:t>
      </w:r>
      <w:r w:rsidR="00CA7DBE">
        <w:rPr>
          <w:rFonts w:ascii="Century Schoolbook" w:hAnsi="Century Schoolbook"/>
          <w:color w:val="000000" w:themeColor="text1"/>
        </w:rPr>
        <w:t>,</w:t>
      </w:r>
      <w:r w:rsidRPr="00573FA5">
        <w:rPr>
          <w:rFonts w:ascii="Century Schoolbook" w:hAnsi="Century Schoolbook"/>
          <w:color w:val="000000" w:themeColor="text1"/>
        </w:rPr>
        <w:t xml:space="preserve"> they simply serve different goals. If a bellwether process of some type will be used, plaintiffs’ counsel may urge the use of a case-selection committee on the plaintiffs’ side. The committee members </w:t>
      </w:r>
      <w:r>
        <w:rPr>
          <w:rFonts w:ascii="Century Schoolbook" w:hAnsi="Century Schoolbook"/>
          <w:color w:val="000000" w:themeColor="text1"/>
        </w:rPr>
        <w:t xml:space="preserve">will inform themselves </w:t>
      </w:r>
      <w:r w:rsidRPr="00573FA5">
        <w:rPr>
          <w:rFonts w:ascii="Century Schoolbook" w:hAnsi="Century Schoolbook"/>
          <w:color w:val="000000" w:themeColor="text1"/>
        </w:rPr>
        <w:t xml:space="preserve">about the particular cases on file to find the cases they believe are representative. This </w:t>
      </w:r>
      <w:r w:rsidRPr="00573FA5">
        <w:rPr>
          <w:rFonts w:ascii="Century Schoolbook" w:hAnsi="Century Schoolbook"/>
          <w:color w:val="000000" w:themeColor="text1"/>
        </w:rPr>
        <w:lastRenderedPageBreak/>
        <w:t xml:space="preserve">information, in turn, helps </w:t>
      </w:r>
      <w:r>
        <w:rPr>
          <w:rFonts w:ascii="Century Schoolbook" w:hAnsi="Century Schoolbook"/>
          <w:color w:val="000000" w:themeColor="text1"/>
        </w:rPr>
        <w:t>guide</w:t>
      </w:r>
      <w:r w:rsidRPr="00573FA5">
        <w:rPr>
          <w:rFonts w:ascii="Century Schoolbook" w:hAnsi="Century Schoolbook"/>
          <w:color w:val="000000" w:themeColor="text1"/>
        </w:rPr>
        <w:t xml:space="preserve"> the settlement negotiations, which can otherwise be untethered from the reality of the </w:t>
      </w:r>
      <w:r>
        <w:rPr>
          <w:rFonts w:ascii="Century Schoolbook" w:hAnsi="Century Schoolbook"/>
          <w:color w:val="000000" w:themeColor="text1"/>
        </w:rPr>
        <w:t xml:space="preserve">filed </w:t>
      </w:r>
      <w:r w:rsidRPr="00573FA5">
        <w:rPr>
          <w:rFonts w:ascii="Century Schoolbook" w:hAnsi="Century Schoolbook"/>
          <w:color w:val="000000" w:themeColor="text1"/>
        </w:rPr>
        <w:t>case</w:t>
      </w:r>
      <w:r>
        <w:rPr>
          <w:rFonts w:ascii="Century Schoolbook" w:hAnsi="Century Schoolbook"/>
          <w:color w:val="000000" w:themeColor="text1"/>
        </w:rPr>
        <w:t>s</w:t>
      </w:r>
      <w:r w:rsidRPr="00573FA5">
        <w:rPr>
          <w:rFonts w:ascii="Century Schoolbook" w:hAnsi="Century Schoolbook"/>
          <w:color w:val="000000" w:themeColor="text1"/>
        </w:rPr>
        <w:t>.</w:t>
      </w:r>
    </w:p>
    <w:p w:rsidR="00610156" w:rsidRPr="00573FA5" w:rsidRDefault="00610156" w:rsidP="00610156">
      <w:pPr>
        <w:pStyle w:val="BodyText"/>
        <w:ind w:firstLine="720"/>
        <w:contextualSpacing/>
        <w:rPr>
          <w:rFonts w:ascii="Century Schoolbook" w:hAnsi="Century Schoolbook"/>
          <w:color w:val="000000" w:themeColor="text1"/>
        </w:rPr>
      </w:pPr>
    </w:p>
    <w:p w:rsidR="00610156" w:rsidRPr="00573FA5" w:rsidRDefault="00CA3C6F" w:rsidP="00610156">
      <w:pPr>
        <w:pStyle w:val="BodyText"/>
        <w:ind w:firstLine="720"/>
        <w:contextualSpacing/>
        <w:rPr>
          <w:rFonts w:ascii="Century Schoolbook" w:hAnsi="Century Schoolbook"/>
          <w:color w:val="000000" w:themeColor="text1"/>
        </w:rPr>
      </w:pPr>
      <w:r w:rsidRPr="00573FA5">
        <w:rPr>
          <w:rFonts w:ascii="Century Schoolbook" w:hAnsi="Century Schoolbook"/>
          <w:color w:val="000000" w:themeColor="text1"/>
        </w:rPr>
        <w:t xml:space="preserve">In designing a selection process, the judge should bear in mind its likely consequence. For example, allowing the parties to nominate and then strike each other’s picks yields different results from a judge </w:t>
      </w:r>
      <w:r>
        <w:rPr>
          <w:rFonts w:ascii="Century Schoolbook" w:hAnsi="Century Schoolbook"/>
          <w:color w:val="000000" w:themeColor="text1"/>
        </w:rPr>
        <w:t>ordering</w:t>
      </w:r>
      <w:r w:rsidRPr="00573FA5">
        <w:rPr>
          <w:rFonts w:ascii="Century Schoolbook" w:hAnsi="Century Schoolbook"/>
          <w:color w:val="000000" w:themeColor="text1"/>
        </w:rPr>
        <w:t>, “here are the types of claimants and categories I do or do not want to see; bring me your nominees and I will make the final selection.” Random selection results in yet another type of sample set</w:t>
      </w:r>
      <w:r>
        <w:rPr>
          <w:rFonts w:ascii="Century Schoolbook" w:hAnsi="Century Schoolbook"/>
          <w:color w:val="000000" w:themeColor="text1"/>
        </w:rPr>
        <w:t>.</w:t>
      </w:r>
      <w:r w:rsidRPr="00573FA5">
        <w:rPr>
          <w:rFonts w:ascii="Century Schoolbook" w:hAnsi="Century Schoolbook"/>
          <w:color w:val="000000" w:themeColor="text1"/>
        </w:rPr>
        <w:t xml:space="preserve"> </w:t>
      </w:r>
      <w:r>
        <w:rPr>
          <w:rFonts w:ascii="Century Schoolbook" w:hAnsi="Century Schoolbook"/>
          <w:color w:val="000000" w:themeColor="text1"/>
        </w:rPr>
        <w:t xml:space="preserve"> Some </w:t>
      </w:r>
      <w:r w:rsidRPr="00573FA5">
        <w:rPr>
          <w:rFonts w:ascii="Century Schoolbook" w:hAnsi="Century Schoolbook"/>
          <w:color w:val="000000" w:themeColor="text1"/>
        </w:rPr>
        <w:t>parties caution that random selection does not necessarily lead to representative cases. One judge solved this problem by randomly selecting ten cases to go first, then allowing the lawyers to challenge the cases’ representativeness — obtaining the benefit of random selection while minimizing the risk of outliers.</w:t>
      </w:r>
    </w:p>
    <w:p w:rsidR="00610156" w:rsidRPr="00573FA5" w:rsidRDefault="00610156" w:rsidP="00610156">
      <w:pPr>
        <w:pStyle w:val="BodyText"/>
        <w:ind w:firstLine="720"/>
        <w:contextualSpacing/>
        <w:rPr>
          <w:rFonts w:ascii="Century Schoolbook" w:hAnsi="Century Schoolbook"/>
          <w:color w:val="000000" w:themeColor="text1"/>
        </w:rPr>
      </w:pPr>
    </w:p>
    <w:p w:rsidR="00610156" w:rsidRPr="00573FA5" w:rsidRDefault="00CA3C6F" w:rsidP="00610156">
      <w:pPr>
        <w:pStyle w:val="BodyText"/>
        <w:ind w:firstLine="720"/>
        <w:contextualSpacing/>
        <w:rPr>
          <w:rFonts w:ascii="Century Schoolbook" w:hAnsi="Century Schoolbook"/>
          <w:color w:val="000000" w:themeColor="text1"/>
        </w:rPr>
      </w:pPr>
      <w:r w:rsidRPr="00573FA5">
        <w:rPr>
          <w:rFonts w:ascii="Century Schoolbook" w:hAnsi="Century Schoolbook"/>
          <w:color w:val="000000" w:themeColor="text1"/>
        </w:rPr>
        <w:t xml:space="preserve">One approach that </w:t>
      </w:r>
      <w:r>
        <w:rPr>
          <w:rFonts w:ascii="Century Schoolbook" w:hAnsi="Century Schoolbook"/>
          <w:color w:val="000000" w:themeColor="text1"/>
        </w:rPr>
        <w:t xml:space="preserve">has </w:t>
      </w:r>
      <w:r w:rsidRPr="00573FA5">
        <w:rPr>
          <w:rFonts w:ascii="Century Schoolbook" w:hAnsi="Century Schoolbook"/>
          <w:color w:val="000000" w:themeColor="text1"/>
        </w:rPr>
        <w:t xml:space="preserve">garnered substantial support is employing a grid or categorization of the cases based upon the earlier litigation process. This </w:t>
      </w:r>
      <w:r>
        <w:rPr>
          <w:rFonts w:ascii="Century Schoolbook" w:hAnsi="Century Schoolbook"/>
          <w:color w:val="000000" w:themeColor="text1"/>
        </w:rPr>
        <w:t xml:space="preserve">technique </w:t>
      </w:r>
      <w:r w:rsidRPr="00573FA5">
        <w:rPr>
          <w:rFonts w:ascii="Century Schoolbook" w:hAnsi="Century Schoolbook"/>
          <w:color w:val="000000" w:themeColor="text1"/>
        </w:rPr>
        <w:t xml:space="preserve">involves placing claims in different buckets based on certain characteristics –– for example, plaintiff age, injury </w:t>
      </w:r>
      <w:r w:rsidR="009E622F">
        <w:rPr>
          <w:rFonts w:ascii="Century Schoolbook" w:hAnsi="Century Schoolbook"/>
          <w:color w:val="000000" w:themeColor="text1"/>
        </w:rPr>
        <w:t>type, injury severity, date of alleged i</w:t>
      </w:r>
      <w:r w:rsidRPr="00573FA5">
        <w:rPr>
          <w:rFonts w:ascii="Century Schoolbook" w:hAnsi="Century Schoolbook"/>
          <w:color w:val="000000" w:themeColor="text1"/>
        </w:rPr>
        <w:t xml:space="preserve">njury in relation to evolving science, and so on. Then, the parties select twenty cases that fall within each of those categories. That pool of cases can then be developed such that one-off anomalies do not skew the results, but the size of the pool is small enough to allow counsel to focus on those cases. As MDL settlements have moved toward global grid settlements or smaller settlements by claims type, the grid bellwether approach </w:t>
      </w:r>
      <w:r>
        <w:rPr>
          <w:rFonts w:ascii="Century Schoolbook" w:hAnsi="Century Schoolbook"/>
          <w:color w:val="000000" w:themeColor="text1"/>
        </w:rPr>
        <w:t xml:space="preserve">also supports the </w:t>
      </w:r>
      <w:r w:rsidRPr="00573FA5">
        <w:rPr>
          <w:rFonts w:ascii="Century Schoolbook" w:hAnsi="Century Schoolbook"/>
          <w:color w:val="000000" w:themeColor="text1"/>
        </w:rPr>
        <w:t>develop</w:t>
      </w:r>
      <w:r>
        <w:rPr>
          <w:rFonts w:ascii="Century Schoolbook" w:hAnsi="Century Schoolbook"/>
          <w:color w:val="000000" w:themeColor="text1"/>
        </w:rPr>
        <w:t>ment</w:t>
      </w:r>
      <w:r w:rsidRPr="00573FA5">
        <w:rPr>
          <w:rFonts w:ascii="Century Schoolbook" w:hAnsi="Century Schoolbook"/>
          <w:color w:val="000000" w:themeColor="text1"/>
        </w:rPr>
        <w:t xml:space="preserve"> and test</w:t>
      </w:r>
      <w:r>
        <w:rPr>
          <w:rFonts w:ascii="Century Schoolbook" w:hAnsi="Century Schoolbook"/>
          <w:color w:val="000000" w:themeColor="text1"/>
        </w:rPr>
        <w:t>ing</w:t>
      </w:r>
      <w:r w:rsidRPr="00573FA5">
        <w:rPr>
          <w:rFonts w:ascii="Century Schoolbook" w:hAnsi="Century Schoolbook"/>
          <w:color w:val="000000" w:themeColor="text1"/>
        </w:rPr>
        <w:t xml:space="preserve"> </w:t>
      </w:r>
      <w:r>
        <w:rPr>
          <w:rFonts w:ascii="Century Schoolbook" w:hAnsi="Century Schoolbook"/>
          <w:color w:val="000000" w:themeColor="text1"/>
        </w:rPr>
        <w:t xml:space="preserve">of </w:t>
      </w:r>
      <w:r w:rsidRPr="00573FA5">
        <w:rPr>
          <w:rFonts w:ascii="Century Schoolbook" w:hAnsi="Century Schoolbook"/>
          <w:color w:val="000000" w:themeColor="text1"/>
        </w:rPr>
        <w:t>potential settlement categor</w:t>
      </w:r>
      <w:r>
        <w:rPr>
          <w:rFonts w:ascii="Century Schoolbook" w:hAnsi="Century Schoolbook"/>
          <w:color w:val="000000" w:themeColor="text1"/>
        </w:rPr>
        <w:t>ies</w:t>
      </w:r>
      <w:r w:rsidRPr="00573FA5">
        <w:rPr>
          <w:rFonts w:ascii="Century Schoolbook" w:hAnsi="Century Schoolbook"/>
          <w:color w:val="000000" w:themeColor="text1"/>
        </w:rPr>
        <w:t>.</w:t>
      </w:r>
      <w:r>
        <w:rPr>
          <w:rStyle w:val="FootnoteReference"/>
          <w:rFonts w:ascii="Century Schoolbook" w:hAnsi="Century Schoolbook"/>
          <w:color w:val="000000" w:themeColor="text1"/>
        </w:rPr>
        <w:footnoteReference w:id="13"/>
      </w:r>
      <w:r w:rsidRPr="00573FA5">
        <w:rPr>
          <w:rFonts w:ascii="Century Schoolbook" w:hAnsi="Century Schoolbook"/>
          <w:color w:val="000000" w:themeColor="text1"/>
          <w:position w:val="11"/>
        </w:rPr>
        <w:t xml:space="preserve"> </w:t>
      </w:r>
      <w:r w:rsidRPr="00573FA5">
        <w:rPr>
          <w:rFonts w:ascii="Century Schoolbook" w:hAnsi="Century Schoolbook"/>
          <w:color w:val="000000" w:themeColor="text1"/>
        </w:rPr>
        <w:t>If the MDL does not end in a settlement, the grid approach can help clarify the remand packet with materials specific to each claim type.</w:t>
      </w:r>
    </w:p>
    <w:p w:rsidR="00610156" w:rsidRPr="00573FA5" w:rsidRDefault="00610156" w:rsidP="00610156">
      <w:pPr>
        <w:pStyle w:val="BodyText"/>
        <w:ind w:left="120" w:right="113" w:firstLine="720"/>
        <w:contextualSpacing/>
        <w:rPr>
          <w:rFonts w:ascii="Century Schoolbook" w:hAnsi="Century Schoolbook"/>
          <w:color w:val="000000" w:themeColor="text1"/>
        </w:rPr>
      </w:pPr>
    </w:p>
    <w:p w:rsidR="00610156" w:rsidRPr="00573FA5" w:rsidRDefault="00CA3C6F" w:rsidP="00610156">
      <w:pPr>
        <w:pStyle w:val="BodyText"/>
        <w:ind w:firstLine="720"/>
        <w:contextualSpacing/>
        <w:rPr>
          <w:rFonts w:ascii="Century Schoolbook" w:hAnsi="Century Schoolbook"/>
          <w:color w:val="000000" w:themeColor="text1"/>
        </w:rPr>
      </w:pPr>
      <w:r w:rsidRPr="00573FA5">
        <w:rPr>
          <w:rFonts w:ascii="Century Schoolbook" w:hAnsi="Century Schoolbook"/>
          <w:color w:val="000000" w:themeColor="text1"/>
        </w:rPr>
        <w:t>Counsel strongly support judges taking an active role in articulating the criteria by which cases would be selected, recognizing that attorneys might otherwise act strategically in their nominations and strikes of cases. Judges likewise agree that “parties sometimes don’t want what they ask for,” so a strong hand from the judge may often be necessary to maximize the value of early cases.</w:t>
      </w:r>
    </w:p>
    <w:p w:rsidR="00610156" w:rsidRPr="00573FA5" w:rsidRDefault="00610156" w:rsidP="00610156">
      <w:pPr>
        <w:pStyle w:val="BodyText"/>
        <w:ind w:firstLine="720"/>
        <w:contextualSpacing/>
        <w:rPr>
          <w:rFonts w:ascii="Century Schoolbook" w:hAnsi="Century Schoolbook"/>
          <w:color w:val="000000" w:themeColor="text1"/>
        </w:rPr>
      </w:pPr>
    </w:p>
    <w:p w:rsidR="00610156" w:rsidRPr="00573FA5" w:rsidRDefault="00CA3C6F" w:rsidP="00610156">
      <w:pPr>
        <w:pStyle w:val="BodyText"/>
        <w:ind w:firstLine="720"/>
        <w:contextualSpacing/>
        <w:rPr>
          <w:rFonts w:ascii="Century Schoolbook" w:hAnsi="Century Schoolbook"/>
          <w:color w:val="000000" w:themeColor="text1"/>
        </w:rPr>
      </w:pPr>
      <w:r w:rsidRPr="00573FA5">
        <w:rPr>
          <w:rFonts w:ascii="Century Schoolbook" w:hAnsi="Century Schoolbook"/>
          <w:color w:val="000000" w:themeColor="text1"/>
        </w:rPr>
        <w:t>Before developing a bellwether protocol for moving forward with an initial set of cases, transferee judges recommend resolving pending motions to remand, acting on outstanding motions, and allowing early science hearings</w:t>
      </w:r>
      <w:r w:rsidR="00CA7DBE">
        <w:rPr>
          <w:rFonts w:ascii="Century Schoolbook" w:hAnsi="Century Schoolbook"/>
          <w:color w:val="000000" w:themeColor="text1"/>
        </w:rPr>
        <w:t xml:space="preserve"> to help clarify what types of cases and claims are at issue</w:t>
      </w:r>
      <w:r w:rsidRPr="00573FA5">
        <w:rPr>
          <w:rFonts w:ascii="Century Schoolbook" w:hAnsi="Century Schoolbook"/>
          <w:color w:val="000000" w:themeColor="text1"/>
        </w:rPr>
        <w:t xml:space="preserve">. The judge may also ask the parties to provide an early science tutorial, which some transferee judges reported finding more instructive than </w:t>
      </w:r>
      <w:r w:rsidRPr="00573FA5">
        <w:rPr>
          <w:rFonts w:ascii="Century Schoolbook" w:hAnsi="Century Schoolbook"/>
          <w:i/>
          <w:color w:val="000000" w:themeColor="text1"/>
        </w:rPr>
        <w:t xml:space="preserve">Daubert </w:t>
      </w:r>
      <w:r w:rsidRPr="00573FA5">
        <w:rPr>
          <w:rFonts w:ascii="Century Schoolbook" w:hAnsi="Century Schoolbook"/>
          <w:color w:val="000000" w:themeColor="text1"/>
        </w:rPr>
        <w:t xml:space="preserve">hearings. Judges suggest that this was very helpful to do </w:t>
      </w:r>
      <w:r>
        <w:rPr>
          <w:rFonts w:ascii="Century Schoolbook" w:hAnsi="Century Schoolbook"/>
          <w:color w:val="000000" w:themeColor="text1"/>
        </w:rPr>
        <w:t>before</w:t>
      </w:r>
      <w:r w:rsidRPr="00573FA5">
        <w:rPr>
          <w:rFonts w:ascii="Century Schoolbook" w:hAnsi="Century Schoolbook"/>
          <w:color w:val="000000" w:themeColor="text1"/>
        </w:rPr>
        <w:t xml:space="preserve"> the creation of the bellwether-selection process to help the judge know enough about the cases and science to control the jockeying among attorneys and select the right process and parameters for the cases.</w:t>
      </w:r>
    </w:p>
    <w:p w:rsidR="00610156" w:rsidRDefault="00CA3C6F" w:rsidP="00610156">
      <w:pPr>
        <w:pStyle w:val="BodyText"/>
        <w:ind w:firstLine="720"/>
        <w:contextualSpacing/>
        <w:rPr>
          <w:rFonts w:ascii="Century Schoolbook" w:hAnsi="Century Schoolbook"/>
          <w:color w:val="000000" w:themeColor="text1"/>
        </w:rPr>
      </w:pPr>
      <w:r w:rsidRPr="00573FA5">
        <w:rPr>
          <w:rFonts w:ascii="Century Schoolbook" w:hAnsi="Century Schoolbook"/>
          <w:color w:val="000000" w:themeColor="text1"/>
        </w:rPr>
        <w:lastRenderedPageBreak/>
        <w:t>If the parties do not settle in the shadow of the bellwether trials, the bellwether materials — such as deposition cuts and key rulings — will be helpful to the judge in preparing a trial package for remand. These materials, in many instances, add significant value for the parties and the judiciary.</w:t>
      </w:r>
    </w:p>
    <w:p w:rsidR="00610156" w:rsidRPr="00573FA5" w:rsidRDefault="00610156" w:rsidP="00610156">
      <w:pPr>
        <w:pStyle w:val="BodyText"/>
        <w:ind w:firstLine="720"/>
        <w:contextualSpacing/>
        <w:jc w:val="both"/>
        <w:rPr>
          <w:rFonts w:ascii="Century Schoolbook" w:hAnsi="Century Schoolbook"/>
          <w:color w:val="000000" w:themeColor="text1"/>
        </w:rPr>
      </w:pPr>
    </w:p>
    <w:p w:rsidR="00610156" w:rsidRPr="00573FA5" w:rsidRDefault="00CA3C6F" w:rsidP="00610156">
      <w:pPr>
        <w:pStyle w:val="BodyText"/>
        <w:ind w:left="720" w:right="720"/>
        <w:contextualSpacing/>
        <w:jc w:val="both"/>
        <w:rPr>
          <w:rFonts w:ascii="Century Schoolbook" w:hAnsi="Century Schoolbook"/>
          <w:color w:val="000000" w:themeColor="text1"/>
        </w:rPr>
      </w:pPr>
      <w:r w:rsidRPr="00573FA5">
        <w:rPr>
          <w:rFonts w:ascii="Century Schoolbook" w:hAnsi="Century Schoolbook"/>
          <w:smallCaps/>
          <w:color w:val="000000" w:themeColor="text1"/>
        </w:rPr>
        <w:t>Best Practice 1E(</w:t>
      </w:r>
      <w:r w:rsidRPr="00573FA5">
        <w:rPr>
          <w:rFonts w:ascii="Century Schoolbook" w:hAnsi="Century Schoolbook"/>
          <w:color w:val="000000" w:themeColor="text1"/>
        </w:rPr>
        <w:t>i</w:t>
      </w:r>
      <w:r w:rsidRPr="00573FA5">
        <w:rPr>
          <w:rFonts w:ascii="Century Schoolbook" w:hAnsi="Century Schoolbook"/>
          <w:smallCaps/>
          <w:color w:val="000000" w:themeColor="text1"/>
        </w:rPr>
        <w:t>):</w:t>
      </w:r>
      <w:r w:rsidRPr="00573FA5">
        <w:rPr>
          <w:rFonts w:ascii="Century Schoolbook" w:hAnsi="Century Schoolbook"/>
          <w:color w:val="000000" w:themeColor="text1"/>
        </w:rPr>
        <w:t xml:space="preserve"> The transferee court should adopt a strategy for facilitating the availability of the broadest possible pool of candidates from which to select bellwether cases.</w:t>
      </w:r>
    </w:p>
    <w:p w:rsidR="00610156" w:rsidRPr="00573FA5" w:rsidRDefault="00610156" w:rsidP="00610156">
      <w:pPr>
        <w:pStyle w:val="BodyText"/>
        <w:contextualSpacing/>
        <w:jc w:val="both"/>
        <w:rPr>
          <w:rFonts w:ascii="Century Schoolbook" w:hAnsi="Century Schoolbook"/>
          <w:color w:val="000000" w:themeColor="text1"/>
        </w:rPr>
      </w:pPr>
    </w:p>
    <w:p w:rsidR="00610156" w:rsidRPr="00573FA5" w:rsidRDefault="00CA3C6F" w:rsidP="00610156">
      <w:pPr>
        <w:pStyle w:val="BodyText"/>
        <w:ind w:firstLine="720"/>
        <w:contextualSpacing/>
        <w:rPr>
          <w:rFonts w:ascii="Century Schoolbook" w:hAnsi="Century Schoolbook"/>
          <w:color w:val="000000" w:themeColor="text1"/>
        </w:rPr>
      </w:pPr>
      <w:r w:rsidRPr="00573FA5">
        <w:rPr>
          <w:rFonts w:ascii="Century Schoolbook" w:hAnsi="Century Schoolbook"/>
          <w:color w:val="000000" w:themeColor="text1"/>
        </w:rPr>
        <w:t xml:space="preserve">If the decision is made to conduct bellwether trials, the transferee judge should take steps to ensure that an appropriate pool of cases is available for selection as bellwether trial candidates. Under the U.S. Supreme Court’s decision in </w:t>
      </w:r>
      <w:r w:rsidRPr="00573FA5">
        <w:rPr>
          <w:rFonts w:ascii="Century Schoolbook" w:hAnsi="Century Schoolbook"/>
          <w:i/>
          <w:color w:val="000000" w:themeColor="text1"/>
        </w:rPr>
        <w:t>Lexecon Inc. v. Milberg Weiss Bershad Hynes &amp; Lerach</w:t>
      </w:r>
      <w:r w:rsidRPr="00573FA5">
        <w:rPr>
          <w:rFonts w:ascii="Century Schoolbook" w:hAnsi="Century Schoolbook"/>
          <w:color w:val="000000" w:themeColor="text1"/>
        </w:rPr>
        <w:t>,</w:t>
      </w:r>
      <w:r>
        <w:rPr>
          <w:rStyle w:val="FootnoteReference"/>
          <w:rFonts w:ascii="Century Schoolbook" w:hAnsi="Century Schoolbook"/>
          <w:color w:val="000000" w:themeColor="text1"/>
        </w:rPr>
        <w:footnoteReference w:id="14"/>
      </w:r>
      <w:r w:rsidRPr="00573FA5">
        <w:rPr>
          <w:rFonts w:ascii="Century Schoolbook" w:hAnsi="Century Schoolbook"/>
          <w:color w:val="000000" w:themeColor="text1"/>
          <w:position w:val="11"/>
        </w:rPr>
        <w:t xml:space="preserve"> </w:t>
      </w:r>
      <w:r w:rsidRPr="00573FA5">
        <w:rPr>
          <w:rFonts w:ascii="Century Schoolbook" w:hAnsi="Century Schoolbook"/>
          <w:color w:val="000000" w:themeColor="text1"/>
        </w:rPr>
        <w:t xml:space="preserve">a transferee judge may only </w:t>
      </w:r>
      <w:r>
        <w:rPr>
          <w:rFonts w:ascii="Century Schoolbook" w:hAnsi="Century Schoolbook"/>
          <w:color w:val="000000" w:themeColor="text1"/>
        </w:rPr>
        <w:t>conduct</w:t>
      </w:r>
      <w:r w:rsidRPr="00573FA5">
        <w:rPr>
          <w:rFonts w:ascii="Century Schoolbook" w:hAnsi="Century Schoolbook"/>
          <w:color w:val="000000" w:themeColor="text1"/>
        </w:rPr>
        <w:t xml:space="preserve"> trials of cases originally filed in that court. Often, some subset of the cases pending in a MDL proceeding will qualify, but that subset may not be representative of the entire MDL case pool. Thus, trials of cases selected from that pool may be of limited value.</w:t>
      </w:r>
    </w:p>
    <w:p w:rsidR="00610156" w:rsidRPr="00573FA5" w:rsidRDefault="00610156" w:rsidP="00610156">
      <w:pPr>
        <w:pStyle w:val="BodyText"/>
        <w:ind w:firstLine="720"/>
        <w:contextualSpacing/>
        <w:rPr>
          <w:rFonts w:ascii="Century Schoolbook" w:hAnsi="Century Schoolbook"/>
          <w:color w:val="000000" w:themeColor="text1"/>
        </w:rPr>
      </w:pPr>
    </w:p>
    <w:p w:rsidR="009E12AB" w:rsidRDefault="00CA3C6F" w:rsidP="00610156">
      <w:pPr>
        <w:pStyle w:val="BodyText"/>
        <w:ind w:firstLine="720"/>
        <w:contextualSpacing/>
        <w:rPr>
          <w:rFonts w:ascii="Century Schoolbook" w:hAnsi="Century Schoolbook"/>
          <w:color w:val="000000" w:themeColor="text1"/>
        </w:rPr>
      </w:pPr>
      <w:r w:rsidRPr="00573FA5">
        <w:rPr>
          <w:rFonts w:ascii="Century Schoolbook" w:hAnsi="Century Schoolbook"/>
          <w:color w:val="000000" w:themeColor="text1"/>
        </w:rPr>
        <w:t>For that reason, the transferee court should consider adopting one of three commonly-used options for facilitating the broadest possible pool of candidates to select as bellwether cases.</w:t>
      </w:r>
      <w:r>
        <w:rPr>
          <w:rStyle w:val="FootnoteReference"/>
          <w:rFonts w:ascii="Century Schoolbook" w:hAnsi="Century Schoolbook"/>
          <w:color w:val="000000" w:themeColor="text1"/>
        </w:rPr>
        <w:footnoteReference w:id="15"/>
      </w:r>
      <w:r w:rsidRPr="00573FA5">
        <w:rPr>
          <w:rFonts w:ascii="Century Schoolbook" w:hAnsi="Century Schoolbook"/>
          <w:color w:val="000000" w:themeColor="text1"/>
        </w:rPr>
        <w:t xml:space="preserve"> The first is to request that parties sign “</w:t>
      </w:r>
      <w:r w:rsidRPr="00573FA5">
        <w:rPr>
          <w:rFonts w:ascii="Century Schoolbook" w:hAnsi="Century Schoolbook"/>
          <w:i/>
          <w:color w:val="000000" w:themeColor="text1"/>
        </w:rPr>
        <w:t xml:space="preserve">Lexecon </w:t>
      </w:r>
      <w:r w:rsidRPr="00573FA5">
        <w:rPr>
          <w:rFonts w:ascii="Century Schoolbook" w:hAnsi="Century Schoolbook"/>
          <w:color w:val="000000" w:themeColor="text1"/>
        </w:rPr>
        <w:t>waivers” — that is, waivers of the right to object to venue before the MDL court. This option is attractive to many judges because it allows selection for bellwether trial of any case in which the parties have executed such a waiver.</w:t>
      </w:r>
      <w:r>
        <w:rPr>
          <w:rStyle w:val="FootnoteReference"/>
          <w:rFonts w:ascii="Century Schoolbook" w:hAnsi="Century Schoolbook"/>
          <w:color w:val="000000" w:themeColor="text1"/>
        </w:rPr>
        <w:footnoteReference w:id="16"/>
      </w:r>
      <w:r w:rsidRPr="00573FA5">
        <w:rPr>
          <w:rFonts w:ascii="Century Schoolbook" w:hAnsi="Century Schoolbook"/>
          <w:color w:val="000000" w:themeColor="text1"/>
        </w:rPr>
        <w:t xml:space="preserve"> Claimants are often willing to give such waivers because they (and their counsel) want the opportunity for an early trial. These waivers are sometimes resisted by parties — </w:t>
      </w:r>
      <w:r w:rsidR="009E12AB">
        <w:rPr>
          <w:rFonts w:ascii="Century Schoolbook" w:hAnsi="Century Schoolbook"/>
          <w:color w:val="000000" w:themeColor="text1"/>
        </w:rPr>
        <w:t>particularly by claimants who wish t</w:t>
      </w:r>
      <w:r w:rsidRPr="00573FA5">
        <w:rPr>
          <w:rFonts w:ascii="Century Schoolbook" w:hAnsi="Century Schoolbook"/>
          <w:color w:val="000000" w:themeColor="text1"/>
        </w:rPr>
        <w:t xml:space="preserve">o maintain their right to try their cases in the venue where they were originally filed, </w:t>
      </w:r>
      <w:r>
        <w:rPr>
          <w:rFonts w:ascii="Century Schoolbook" w:hAnsi="Century Schoolbook"/>
          <w:color w:val="000000" w:themeColor="text1"/>
        </w:rPr>
        <w:t xml:space="preserve">and </w:t>
      </w:r>
      <w:r w:rsidRPr="00573FA5">
        <w:rPr>
          <w:rFonts w:ascii="Century Schoolbook" w:hAnsi="Century Schoolbook"/>
          <w:color w:val="000000" w:themeColor="text1"/>
        </w:rPr>
        <w:t xml:space="preserve">defendants </w:t>
      </w:r>
      <w:r w:rsidR="009E12AB">
        <w:rPr>
          <w:rFonts w:ascii="Century Schoolbook" w:hAnsi="Century Schoolbook"/>
          <w:color w:val="000000" w:themeColor="text1"/>
        </w:rPr>
        <w:t xml:space="preserve">who </w:t>
      </w:r>
      <w:r>
        <w:rPr>
          <w:rFonts w:ascii="Century Schoolbook" w:hAnsi="Century Schoolbook"/>
          <w:color w:val="000000" w:themeColor="text1"/>
        </w:rPr>
        <w:t xml:space="preserve">may </w:t>
      </w:r>
      <w:r w:rsidRPr="00573FA5">
        <w:rPr>
          <w:rFonts w:ascii="Century Schoolbook" w:hAnsi="Century Schoolbook"/>
          <w:color w:val="000000" w:themeColor="text1"/>
        </w:rPr>
        <w:t>want to try the cases in a venue other than the MDL.</w:t>
      </w:r>
      <w:r>
        <w:rPr>
          <w:rStyle w:val="FootnoteReference"/>
          <w:rFonts w:ascii="Century Schoolbook" w:hAnsi="Century Schoolbook"/>
          <w:color w:val="000000" w:themeColor="text1"/>
        </w:rPr>
        <w:footnoteReference w:id="17"/>
      </w:r>
      <w:r w:rsidRPr="00573FA5">
        <w:rPr>
          <w:rFonts w:ascii="Century Schoolbook" w:hAnsi="Century Schoolbook"/>
          <w:color w:val="000000" w:themeColor="text1"/>
        </w:rPr>
        <w:t xml:space="preserve"> If this approach is selected, the request for waivers should be made early to ensure that a clearly defined pool of cases are available for trial in the MDL court’s district. </w:t>
      </w:r>
    </w:p>
    <w:p w:rsidR="009E12AB" w:rsidRDefault="009E12AB" w:rsidP="00610156">
      <w:pPr>
        <w:pStyle w:val="BodyText"/>
        <w:ind w:firstLine="720"/>
        <w:contextualSpacing/>
        <w:rPr>
          <w:rFonts w:ascii="Century Schoolbook" w:hAnsi="Century Schoolbook"/>
          <w:color w:val="000000" w:themeColor="text1"/>
        </w:rPr>
      </w:pPr>
    </w:p>
    <w:p w:rsidR="00610156" w:rsidRPr="00573FA5" w:rsidRDefault="00CA3C6F" w:rsidP="00610156">
      <w:pPr>
        <w:pStyle w:val="BodyText"/>
        <w:ind w:firstLine="720"/>
        <w:contextualSpacing/>
        <w:rPr>
          <w:rFonts w:ascii="Century Schoolbook" w:hAnsi="Century Schoolbook"/>
          <w:color w:val="000000" w:themeColor="text1"/>
        </w:rPr>
      </w:pPr>
      <w:r w:rsidRPr="00573FA5">
        <w:rPr>
          <w:rFonts w:ascii="Century Schoolbook" w:hAnsi="Century Schoolbook"/>
          <w:color w:val="000000" w:themeColor="text1"/>
        </w:rPr>
        <w:t xml:space="preserve">Because </w:t>
      </w:r>
      <w:r w:rsidRPr="00573FA5">
        <w:rPr>
          <w:rFonts w:ascii="Century Schoolbook" w:hAnsi="Century Schoolbook"/>
          <w:i/>
          <w:color w:val="000000" w:themeColor="text1"/>
        </w:rPr>
        <w:t xml:space="preserve">Lexecon </w:t>
      </w:r>
      <w:r w:rsidRPr="00573FA5">
        <w:rPr>
          <w:rFonts w:ascii="Century Schoolbook" w:hAnsi="Century Schoolbook"/>
          <w:color w:val="000000" w:themeColor="text1"/>
        </w:rPr>
        <w:t xml:space="preserve">waivers </w:t>
      </w:r>
      <w:r>
        <w:rPr>
          <w:rFonts w:ascii="Century Schoolbook" w:hAnsi="Century Schoolbook"/>
          <w:color w:val="000000" w:themeColor="text1"/>
        </w:rPr>
        <w:t>require</w:t>
      </w:r>
      <w:r w:rsidRPr="00573FA5">
        <w:rPr>
          <w:rFonts w:ascii="Century Schoolbook" w:hAnsi="Century Schoolbook"/>
          <w:color w:val="000000" w:themeColor="text1"/>
        </w:rPr>
        <w:t xml:space="preserve"> parties to divest themselves of fundamental protections of personal jurisdiction and venue, a transferee judge should carefully ensure that the waivers are </w:t>
      </w:r>
      <w:r w:rsidR="009E12AB">
        <w:rPr>
          <w:rFonts w:ascii="Century Schoolbook" w:hAnsi="Century Schoolbook"/>
          <w:color w:val="000000" w:themeColor="text1"/>
        </w:rPr>
        <w:t xml:space="preserve">voluntary and the scope </w:t>
      </w:r>
      <w:r w:rsidRPr="00573FA5">
        <w:rPr>
          <w:rFonts w:ascii="Century Schoolbook" w:hAnsi="Century Schoolbook"/>
          <w:color w:val="000000" w:themeColor="text1"/>
        </w:rPr>
        <w:t>“clear and unambiguous” before trying out-of-district bellwethers.</w:t>
      </w:r>
      <w:r w:rsidR="009E12AB">
        <w:rPr>
          <w:rStyle w:val="FootnoteReference"/>
          <w:rFonts w:ascii="Century Schoolbook" w:hAnsi="Century Schoolbook"/>
          <w:color w:val="000000" w:themeColor="text1"/>
        </w:rPr>
        <w:footnoteReference w:id="18"/>
      </w:r>
      <w:r w:rsidRPr="00573FA5">
        <w:rPr>
          <w:rFonts w:ascii="Century Schoolbook" w:hAnsi="Century Schoolbook"/>
          <w:color w:val="000000" w:themeColor="text1"/>
        </w:rPr>
        <w:t xml:space="preserve"> </w:t>
      </w:r>
      <w:r w:rsidR="009E12AB">
        <w:rPr>
          <w:rFonts w:ascii="Century Schoolbook" w:hAnsi="Century Schoolbook"/>
          <w:color w:val="000000" w:themeColor="text1"/>
        </w:rPr>
        <w:t xml:space="preserve"> </w:t>
      </w:r>
      <w:r w:rsidRPr="00573FA5">
        <w:rPr>
          <w:rFonts w:ascii="Century Schoolbook" w:hAnsi="Century Schoolbook"/>
          <w:color w:val="000000" w:themeColor="text1"/>
        </w:rPr>
        <w:t xml:space="preserve">As illustrated by </w:t>
      </w:r>
      <w:r w:rsidRPr="00573FA5">
        <w:rPr>
          <w:rFonts w:ascii="Century Schoolbook" w:hAnsi="Century Schoolbook"/>
          <w:i/>
          <w:color w:val="000000" w:themeColor="text1"/>
        </w:rPr>
        <w:t>In re De</w:t>
      </w:r>
      <w:r w:rsidR="009E12AB">
        <w:rPr>
          <w:rFonts w:ascii="Century Schoolbook" w:hAnsi="Century Schoolbook"/>
          <w:i/>
          <w:color w:val="000000" w:themeColor="text1"/>
        </w:rPr>
        <w:t>P</w:t>
      </w:r>
      <w:r w:rsidRPr="00573FA5">
        <w:rPr>
          <w:rFonts w:ascii="Century Schoolbook" w:hAnsi="Century Schoolbook"/>
          <w:i/>
          <w:color w:val="000000" w:themeColor="text1"/>
        </w:rPr>
        <w:t>uy Orthopaedics, Inc.</w:t>
      </w:r>
      <w:r w:rsidRPr="00573FA5">
        <w:rPr>
          <w:rFonts w:ascii="Century Schoolbook" w:hAnsi="Century Schoolbook"/>
          <w:color w:val="000000" w:themeColor="text1"/>
        </w:rPr>
        <w:t>,</w:t>
      </w:r>
      <w:r>
        <w:rPr>
          <w:rStyle w:val="FootnoteReference"/>
          <w:rFonts w:ascii="Century Schoolbook" w:hAnsi="Century Schoolbook"/>
          <w:color w:val="000000" w:themeColor="text1"/>
        </w:rPr>
        <w:footnoteReference w:id="19"/>
      </w:r>
      <w:r w:rsidRPr="00573FA5">
        <w:rPr>
          <w:rFonts w:ascii="Century Schoolbook" w:hAnsi="Century Schoolbook"/>
          <w:color w:val="000000" w:themeColor="text1"/>
        </w:rPr>
        <w:t xml:space="preserve"> proceeding to try bellwethers founded on </w:t>
      </w:r>
      <w:r>
        <w:rPr>
          <w:rFonts w:ascii="Century Schoolbook" w:hAnsi="Century Schoolbook"/>
          <w:color w:val="000000" w:themeColor="text1"/>
        </w:rPr>
        <w:t>ambiguous</w:t>
      </w:r>
      <w:r w:rsidRPr="00573FA5">
        <w:rPr>
          <w:rFonts w:ascii="Century Schoolbook" w:hAnsi="Century Schoolbook"/>
          <w:color w:val="000000" w:themeColor="text1"/>
        </w:rPr>
        <w:t xml:space="preserve"> </w:t>
      </w:r>
      <w:r w:rsidRPr="00573FA5">
        <w:rPr>
          <w:rFonts w:ascii="Century Schoolbook" w:hAnsi="Century Schoolbook"/>
          <w:i/>
          <w:color w:val="000000" w:themeColor="text1"/>
        </w:rPr>
        <w:t xml:space="preserve">Lexecon </w:t>
      </w:r>
      <w:r w:rsidRPr="00573FA5">
        <w:rPr>
          <w:rFonts w:ascii="Century Schoolbook" w:hAnsi="Century Schoolbook"/>
          <w:color w:val="000000" w:themeColor="text1"/>
        </w:rPr>
        <w:t>waivers may invite scrutiny</w:t>
      </w:r>
      <w:r>
        <w:rPr>
          <w:rFonts w:ascii="Century Schoolbook" w:hAnsi="Century Schoolbook"/>
          <w:color w:val="000000" w:themeColor="text1"/>
        </w:rPr>
        <w:t xml:space="preserve"> that risks invalidating tried cases</w:t>
      </w:r>
      <w:r w:rsidRPr="00573FA5">
        <w:rPr>
          <w:rFonts w:ascii="Century Schoolbook" w:hAnsi="Century Schoolbook"/>
          <w:color w:val="000000" w:themeColor="text1"/>
        </w:rPr>
        <w:t xml:space="preserve">, </w:t>
      </w:r>
      <w:r>
        <w:rPr>
          <w:rFonts w:ascii="Century Schoolbook" w:hAnsi="Century Schoolbook"/>
          <w:color w:val="000000" w:themeColor="text1"/>
        </w:rPr>
        <w:t xml:space="preserve">when </w:t>
      </w:r>
      <w:r w:rsidRPr="00573FA5">
        <w:rPr>
          <w:rFonts w:ascii="Century Schoolbook" w:hAnsi="Century Schoolbook"/>
          <w:color w:val="000000" w:themeColor="text1"/>
        </w:rPr>
        <w:t xml:space="preserve">parties </w:t>
      </w:r>
      <w:r w:rsidRPr="00573FA5">
        <w:rPr>
          <w:rFonts w:ascii="Century Schoolbook" w:hAnsi="Century Schoolbook"/>
          <w:color w:val="000000" w:themeColor="text1"/>
        </w:rPr>
        <w:lastRenderedPageBreak/>
        <w:t xml:space="preserve">challenge venue and personal jurisdiction. The source of the dispute in that case — an alleged “blanket” </w:t>
      </w:r>
      <w:r w:rsidRPr="00573FA5">
        <w:rPr>
          <w:rFonts w:ascii="Century Schoolbook" w:hAnsi="Century Schoolbook"/>
          <w:i/>
          <w:color w:val="000000" w:themeColor="text1"/>
        </w:rPr>
        <w:t xml:space="preserve">Lexecon </w:t>
      </w:r>
      <w:r w:rsidRPr="00573FA5">
        <w:rPr>
          <w:rFonts w:ascii="Century Schoolbook" w:hAnsi="Century Schoolbook"/>
          <w:color w:val="000000" w:themeColor="text1"/>
        </w:rPr>
        <w:t>waiver — reinforces the care with which these waivers must be negotiated and drafted at the outset.</w:t>
      </w:r>
    </w:p>
    <w:p w:rsidR="00610156" w:rsidRPr="00573FA5" w:rsidRDefault="00610156" w:rsidP="00610156">
      <w:pPr>
        <w:pStyle w:val="BodyText"/>
        <w:ind w:firstLine="720"/>
        <w:contextualSpacing/>
        <w:rPr>
          <w:rFonts w:ascii="Century Schoolbook" w:hAnsi="Century Schoolbook"/>
          <w:color w:val="000000" w:themeColor="text1"/>
        </w:rPr>
      </w:pPr>
    </w:p>
    <w:p w:rsidR="00610156" w:rsidRPr="00573FA5" w:rsidRDefault="00CA3C6F" w:rsidP="00610156">
      <w:pPr>
        <w:pStyle w:val="BodyText"/>
        <w:ind w:firstLine="720"/>
        <w:contextualSpacing/>
        <w:rPr>
          <w:rFonts w:ascii="Century Schoolbook" w:hAnsi="Century Schoolbook"/>
          <w:color w:val="000000" w:themeColor="text1"/>
        </w:rPr>
      </w:pPr>
      <w:r w:rsidRPr="00573FA5">
        <w:rPr>
          <w:rFonts w:ascii="Century Schoolbook" w:hAnsi="Century Schoolbook"/>
          <w:color w:val="000000" w:themeColor="text1"/>
        </w:rPr>
        <w:t>A second option is for the MDL court to enter an order allowing for direct filing of cases in the MDL court with a later determination of venue issues.</w:t>
      </w:r>
      <w:r>
        <w:rPr>
          <w:rStyle w:val="FootnoteReference"/>
          <w:rFonts w:ascii="Century Schoolbook" w:hAnsi="Century Schoolbook"/>
          <w:color w:val="000000" w:themeColor="text1"/>
        </w:rPr>
        <w:footnoteReference w:id="20"/>
      </w:r>
      <w:r w:rsidRPr="00573FA5">
        <w:rPr>
          <w:rFonts w:ascii="Century Schoolbook" w:hAnsi="Century Schoolbook"/>
          <w:color w:val="000000" w:themeColor="text1"/>
          <w:position w:val="11"/>
        </w:rPr>
        <w:t xml:space="preserve"> </w:t>
      </w:r>
      <w:r w:rsidRPr="00573FA5">
        <w:rPr>
          <w:rFonts w:ascii="Century Schoolbook" w:hAnsi="Century Schoolbook"/>
          <w:color w:val="000000" w:themeColor="text1"/>
        </w:rPr>
        <w:t xml:space="preserve">Such orders allow the court to select any case for a potential bellwether trial and then at that point ask the parties to waive any </w:t>
      </w:r>
      <w:r>
        <w:rPr>
          <w:rFonts w:ascii="Century Schoolbook" w:hAnsi="Century Schoolbook"/>
          <w:color w:val="000000" w:themeColor="text1"/>
        </w:rPr>
        <w:t xml:space="preserve">jurisdictional or </w:t>
      </w:r>
      <w:r w:rsidRPr="00573FA5">
        <w:rPr>
          <w:rFonts w:ascii="Century Schoolbook" w:hAnsi="Century Schoolbook"/>
          <w:color w:val="000000" w:themeColor="text1"/>
        </w:rPr>
        <w:t>venue objections to conducting a trial in the MDL proceeding. This option has the benefit of not requiring the judge to urge all parties in all cases to execute a waiver, which can be a daunting undertaking. Once the bellwether trial process is complete, the transferee judge may either keep the non-bellwether cases in the MDL district or transfer them to another federal venue based on the parties’ views.</w:t>
      </w:r>
    </w:p>
    <w:p w:rsidR="00610156" w:rsidRPr="00573FA5" w:rsidRDefault="00610156" w:rsidP="00610156">
      <w:pPr>
        <w:pStyle w:val="BodyText"/>
        <w:ind w:firstLine="720"/>
        <w:contextualSpacing/>
        <w:rPr>
          <w:rFonts w:ascii="Century Schoolbook" w:hAnsi="Century Schoolbook"/>
          <w:color w:val="000000" w:themeColor="text1"/>
        </w:rPr>
      </w:pPr>
    </w:p>
    <w:p w:rsidR="00610156" w:rsidRPr="00573FA5" w:rsidRDefault="00CA3C6F" w:rsidP="00610156">
      <w:pPr>
        <w:pStyle w:val="BodyText"/>
        <w:ind w:firstLine="601"/>
        <w:contextualSpacing/>
        <w:rPr>
          <w:rFonts w:ascii="Century Schoolbook" w:hAnsi="Century Schoolbook"/>
          <w:color w:val="000000" w:themeColor="text1"/>
        </w:rPr>
      </w:pPr>
      <w:r w:rsidRPr="00573FA5">
        <w:rPr>
          <w:rFonts w:ascii="Century Schoolbook" w:hAnsi="Century Schoolbook"/>
          <w:color w:val="000000" w:themeColor="text1"/>
        </w:rPr>
        <w:t xml:space="preserve">The third option is for the MDL judge to conduct bellwether trials in the districts in which the selected cases were originally filed, thereby avoiding the </w:t>
      </w:r>
      <w:r w:rsidRPr="00573FA5">
        <w:rPr>
          <w:rFonts w:ascii="Century Schoolbook" w:hAnsi="Century Schoolbook"/>
          <w:i/>
          <w:color w:val="000000" w:themeColor="text1"/>
        </w:rPr>
        <w:t xml:space="preserve">Lexecon </w:t>
      </w:r>
      <w:r w:rsidRPr="00573FA5">
        <w:rPr>
          <w:rFonts w:ascii="Century Schoolbook" w:hAnsi="Century Schoolbook"/>
          <w:color w:val="000000" w:themeColor="text1"/>
        </w:rPr>
        <w:t>problem. This option may be the least convenient for the transferee court because it requires the judge to apply to sit by designation in another jurisdiction and requires the court to shift the base</w:t>
      </w:r>
      <w:r w:rsidRPr="00573FA5">
        <w:rPr>
          <w:rFonts w:ascii="Century Schoolbook" w:hAnsi="Century Schoolbook"/>
          <w:color w:val="000000" w:themeColor="text1"/>
          <w:spacing w:val="11"/>
        </w:rPr>
        <w:t xml:space="preserve"> </w:t>
      </w:r>
      <w:r w:rsidRPr="00573FA5">
        <w:rPr>
          <w:rFonts w:ascii="Century Schoolbook" w:hAnsi="Century Schoolbook"/>
          <w:color w:val="000000" w:themeColor="text1"/>
        </w:rPr>
        <w:t>of</w:t>
      </w:r>
      <w:r w:rsidRPr="00573FA5">
        <w:rPr>
          <w:rFonts w:ascii="Century Schoolbook" w:hAnsi="Century Schoolbook"/>
          <w:color w:val="000000" w:themeColor="text1"/>
          <w:spacing w:val="11"/>
        </w:rPr>
        <w:t xml:space="preserve"> </w:t>
      </w:r>
      <w:r w:rsidRPr="00573FA5">
        <w:rPr>
          <w:rFonts w:ascii="Century Schoolbook" w:hAnsi="Century Schoolbook"/>
          <w:color w:val="000000" w:themeColor="text1"/>
        </w:rPr>
        <w:t>operations</w:t>
      </w:r>
      <w:r w:rsidRPr="00573FA5">
        <w:rPr>
          <w:rFonts w:ascii="Century Schoolbook" w:hAnsi="Century Schoolbook"/>
          <w:color w:val="000000" w:themeColor="text1"/>
          <w:spacing w:val="10"/>
        </w:rPr>
        <w:t xml:space="preserve"> </w:t>
      </w:r>
      <w:r w:rsidRPr="00573FA5">
        <w:rPr>
          <w:rFonts w:ascii="Century Schoolbook" w:hAnsi="Century Schoolbook"/>
          <w:color w:val="000000" w:themeColor="text1"/>
        </w:rPr>
        <w:t>from</w:t>
      </w:r>
      <w:r w:rsidRPr="00573FA5">
        <w:rPr>
          <w:rFonts w:ascii="Century Schoolbook" w:hAnsi="Century Schoolbook"/>
          <w:color w:val="000000" w:themeColor="text1"/>
          <w:spacing w:val="10"/>
        </w:rPr>
        <w:t xml:space="preserve"> </w:t>
      </w:r>
      <w:r w:rsidRPr="00573FA5">
        <w:rPr>
          <w:rFonts w:ascii="Century Schoolbook" w:hAnsi="Century Schoolbook"/>
          <w:color w:val="000000" w:themeColor="text1"/>
        </w:rPr>
        <w:t>the</w:t>
      </w:r>
      <w:r w:rsidRPr="00573FA5">
        <w:rPr>
          <w:rFonts w:ascii="Century Schoolbook" w:hAnsi="Century Schoolbook"/>
          <w:color w:val="000000" w:themeColor="text1"/>
          <w:spacing w:val="11"/>
        </w:rPr>
        <w:t xml:space="preserve"> </w:t>
      </w:r>
      <w:r w:rsidRPr="00573FA5">
        <w:rPr>
          <w:rFonts w:ascii="Century Schoolbook" w:hAnsi="Century Schoolbook"/>
          <w:color w:val="000000" w:themeColor="text1"/>
        </w:rPr>
        <w:t>MDL</w:t>
      </w:r>
      <w:r w:rsidRPr="00573FA5">
        <w:rPr>
          <w:rFonts w:ascii="Century Schoolbook" w:hAnsi="Century Schoolbook"/>
          <w:color w:val="000000" w:themeColor="text1"/>
          <w:spacing w:val="11"/>
        </w:rPr>
        <w:t xml:space="preserve"> </w:t>
      </w:r>
      <w:r w:rsidRPr="00573FA5">
        <w:rPr>
          <w:rFonts w:ascii="Century Schoolbook" w:hAnsi="Century Schoolbook"/>
          <w:color w:val="000000" w:themeColor="text1"/>
        </w:rPr>
        <w:t>venue. In</w:t>
      </w:r>
      <w:r w:rsidRPr="00573FA5">
        <w:rPr>
          <w:rFonts w:ascii="Century Schoolbook" w:hAnsi="Century Schoolbook"/>
          <w:color w:val="000000" w:themeColor="text1"/>
          <w:spacing w:val="10"/>
        </w:rPr>
        <w:t xml:space="preserve"> </w:t>
      </w:r>
      <w:r w:rsidRPr="00573FA5">
        <w:rPr>
          <w:rFonts w:ascii="Century Schoolbook" w:hAnsi="Century Schoolbook"/>
          <w:color w:val="000000" w:themeColor="text1"/>
        </w:rPr>
        <w:t>addition,</w:t>
      </w:r>
      <w:r w:rsidRPr="00573FA5">
        <w:rPr>
          <w:rFonts w:ascii="Century Schoolbook" w:hAnsi="Century Schoolbook"/>
          <w:color w:val="000000" w:themeColor="text1"/>
          <w:spacing w:val="10"/>
        </w:rPr>
        <w:t xml:space="preserve"> </w:t>
      </w:r>
      <w:r w:rsidRPr="00573FA5">
        <w:rPr>
          <w:rFonts w:ascii="Century Schoolbook" w:hAnsi="Century Schoolbook"/>
          <w:color w:val="000000" w:themeColor="text1"/>
        </w:rPr>
        <w:t>the</w:t>
      </w:r>
      <w:r w:rsidRPr="00573FA5">
        <w:rPr>
          <w:rFonts w:ascii="Century Schoolbook" w:hAnsi="Century Schoolbook"/>
          <w:color w:val="000000" w:themeColor="text1"/>
          <w:spacing w:val="10"/>
        </w:rPr>
        <w:t xml:space="preserve"> </w:t>
      </w:r>
      <w:r w:rsidRPr="00573FA5">
        <w:rPr>
          <w:rFonts w:ascii="Century Schoolbook" w:hAnsi="Century Schoolbook"/>
          <w:color w:val="000000" w:themeColor="text1"/>
        </w:rPr>
        <w:t>U.S.</w:t>
      </w:r>
      <w:r w:rsidRPr="00573FA5">
        <w:rPr>
          <w:rFonts w:ascii="Century Schoolbook" w:hAnsi="Century Schoolbook"/>
          <w:color w:val="000000" w:themeColor="text1"/>
          <w:spacing w:val="10"/>
        </w:rPr>
        <w:t xml:space="preserve"> </w:t>
      </w:r>
      <w:r w:rsidRPr="00573FA5">
        <w:rPr>
          <w:rFonts w:ascii="Century Schoolbook" w:hAnsi="Century Schoolbook"/>
          <w:color w:val="000000" w:themeColor="text1"/>
        </w:rPr>
        <w:t>Court</w:t>
      </w:r>
      <w:r w:rsidRPr="00573FA5">
        <w:rPr>
          <w:rFonts w:ascii="Century Schoolbook" w:hAnsi="Century Schoolbook"/>
          <w:color w:val="000000" w:themeColor="text1"/>
          <w:spacing w:val="10"/>
        </w:rPr>
        <w:t xml:space="preserve"> </w:t>
      </w:r>
      <w:r w:rsidRPr="00573FA5">
        <w:rPr>
          <w:rFonts w:ascii="Century Schoolbook" w:hAnsi="Century Schoolbook"/>
          <w:color w:val="000000" w:themeColor="text1"/>
        </w:rPr>
        <w:t>of</w:t>
      </w:r>
      <w:r w:rsidRPr="00573FA5">
        <w:rPr>
          <w:rFonts w:ascii="Century Schoolbook" w:hAnsi="Century Schoolbook"/>
          <w:color w:val="000000" w:themeColor="text1"/>
          <w:spacing w:val="10"/>
        </w:rPr>
        <w:t xml:space="preserve"> </w:t>
      </w:r>
      <w:r w:rsidRPr="00573FA5">
        <w:rPr>
          <w:rFonts w:ascii="Century Schoolbook" w:hAnsi="Century Schoolbook"/>
          <w:color w:val="000000" w:themeColor="text1"/>
        </w:rPr>
        <w:t>Appeals for the Ninth Circuit has held that an MDL judge can only use this procedure upon a showing of need for additional judges in the transferor district, which might not be satisfied in the typical MDL setting.</w:t>
      </w:r>
      <w:bookmarkStart w:id="3" w:name="_Ref501978583"/>
      <w:r>
        <w:rPr>
          <w:rStyle w:val="FootnoteReference"/>
          <w:rFonts w:ascii="Century Schoolbook" w:hAnsi="Century Schoolbook"/>
          <w:color w:val="000000" w:themeColor="text1"/>
        </w:rPr>
        <w:footnoteReference w:id="21"/>
      </w:r>
      <w:bookmarkEnd w:id="3"/>
      <w:r w:rsidRPr="00573FA5">
        <w:rPr>
          <w:rFonts w:ascii="Century Schoolbook" w:hAnsi="Century Schoolbook"/>
          <w:color w:val="000000" w:themeColor="text1"/>
          <w:position w:val="11"/>
        </w:rPr>
        <w:t xml:space="preserve"> </w:t>
      </w:r>
      <w:r w:rsidRPr="00573FA5">
        <w:rPr>
          <w:rFonts w:ascii="Century Schoolbook" w:hAnsi="Century Schoolbook"/>
          <w:color w:val="000000" w:themeColor="text1"/>
        </w:rPr>
        <w:t xml:space="preserve">To date, no other circuit has </w:t>
      </w:r>
      <w:r w:rsidR="009E12AB">
        <w:rPr>
          <w:rFonts w:ascii="Century Schoolbook" w:hAnsi="Century Schoolbook"/>
          <w:color w:val="000000" w:themeColor="text1"/>
        </w:rPr>
        <w:t>considered the question</w:t>
      </w:r>
      <w:r w:rsidRPr="00573FA5">
        <w:rPr>
          <w:rFonts w:ascii="Century Schoolbook" w:hAnsi="Century Schoolbook"/>
          <w:color w:val="000000" w:themeColor="text1"/>
        </w:rPr>
        <w:t>.</w:t>
      </w:r>
    </w:p>
    <w:p w:rsidR="00610156" w:rsidRPr="00573FA5" w:rsidRDefault="00610156" w:rsidP="00610156">
      <w:pPr>
        <w:pStyle w:val="BodyText"/>
        <w:ind w:firstLine="601"/>
        <w:contextualSpacing/>
        <w:rPr>
          <w:rFonts w:ascii="Century Schoolbook" w:hAnsi="Century Schoolbook"/>
          <w:color w:val="000000" w:themeColor="text1"/>
        </w:rPr>
      </w:pPr>
    </w:p>
    <w:p w:rsidR="00610156" w:rsidRPr="00573FA5" w:rsidRDefault="00CA3C6F" w:rsidP="00610156">
      <w:pPr>
        <w:pStyle w:val="NoSpacing"/>
        <w:ind w:left="720" w:right="720"/>
        <w:contextualSpacing/>
        <w:jc w:val="both"/>
        <w:rPr>
          <w:rFonts w:ascii="Century Schoolbook" w:hAnsi="Century Schoolbook"/>
          <w:sz w:val="24"/>
          <w:szCs w:val="24"/>
        </w:rPr>
      </w:pPr>
      <w:r w:rsidRPr="00573FA5">
        <w:rPr>
          <w:rFonts w:ascii="Century Schoolbook" w:hAnsi="Century Schoolbook"/>
          <w:smallCaps/>
          <w:sz w:val="24"/>
          <w:szCs w:val="24"/>
        </w:rPr>
        <w:t>Best Practice 1E</w:t>
      </w:r>
      <w:r w:rsidRPr="00573FA5">
        <w:rPr>
          <w:rFonts w:ascii="Century Schoolbook" w:hAnsi="Century Schoolbook"/>
          <w:sz w:val="24"/>
          <w:szCs w:val="24"/>
        </w:rPr>
        <w:t>(ii</w:t>
      </w:r>
      <w:r w:rsidRPr="00573FA5">
        <w:rPr>
          <w:rFonts w:ascii="Century Schoolbook" w:hAnsi="Century Schoolbook"/>
          <w:smallCaps/>
          <w:sz w:val="24"/>
          <w:szCs w:val="24"/>
        </w:rPr>
        <w:t>):</w:t>
      </w:r>
      <w:r w:rsidRPr="00573FA5">
        <w:rPr>
          <w:rFonts w:ascii="Century Schoolbook" w:hAnsi="Century Schoolbook"/>
          <w:sz w:val="24"/>
          <w:szCs w:val="24"/>
        </w:rPr>
        <w:t xml:space="preserve"> One strategy for facilitating the broadest pool of candidates from which to select bellwether cases is to consider remanding select cases back to the transferor districts for trial.</w:t>
      </w:r>
    </w:p>
    <w:p w:rsidR="00610156" w:rsidRPr="00573FA5" w:rsidRDefault="00610156" w:rsidP="00610156">
      <w:pPr>
        <w:pStyle w:val="NoSpacing"/>
        <w:ind w:left="720" w:right="720"/>
        <w:contextualSpacing/>
        <w:jc w:val="both"/>
        <w:rPr>
          <w:rFonts w:ascii="Century Schoolbook" w:hAnsi="Century Schoolbook"/>
          <w:sz w:val="24"/>
          <w:szCs w:val="24"/>
        </w:rPr>
      </w:pPr>
    </w:p>
    <w:p w:rsidR="00610156" w:rsidRPr="00573FA5" w:rsidRDefault="00CA3C6F" w:rsidP="00610156">
      <w:pPr>
        <w:pStyle w:val="BodyText"/>
        <w:ind w:firstLine="605"/>
        <w:contextualSpacing/>
        <w:rPr>
          <w:rFonts w:ascii="Century Schoolbook" w:hAnsi="Century Schoolbook"/>
          <w:color w:val="000000" w:themeColor="text1"/>
        </w:rPr>
      </w:pPr>
      <w:r w:rsidRPr="00573FA5">
        <w:rPr>
          <w:rFonts w:ascii="Century Schoolbook" w:hAnsi="Century Schoolbook"/>
          <w:color w:val="000000" w:themeColor="text1"/>
        </w:rPr>
        <w:t xml:space="preserve"> Instead of the transferee judge handling all bellwether trials </w:t>
      </w:r>
      <w:r>
        <w:rPr>
          <w:rFonts w:ascii="Century Schoolbook" w:hAnsi="Century Schoolbook"/>
          <w:color w:val="000000" w:themeColor="text1"/>
        </w:rPr>
        <w:t xml:space="preserve">dependent </w:t>
      </w:r>
      <w:r w:rsidRPr="00573FA5">
        <w:rPr>
          <w:rFonts w:ascii="Century Schoolbook" w:hAnsi="Century Schoolbook"/>
          <w:color w:val="000000" w:themeColor="text1"/>
        </w:rPr>
        <w:t xml:space="preserve">upon </w:t>
      </w:r>
      <w:r>
        <w:rPr>
          <w:rFonts w:ascii="Century Schoolbook" w:hAnsi="Century Schoolbook"/>
          <w:color w:val="000000" w:themeColor="text1"/>
        </w:rPr>
        <w:t xml:space="preserve">obtaining </w:t>
      </w:r>
      <w:r w:rsidRPr="00573FA5">
        <w:rPr>
          <w:rFonts w:ascii="Century Schoolbook" w:hAnsi="Century Schoolbook"/>
          <w:color w:val="000000" w:themeColor="text1"/>
        </w:rPr>
        <w:t xml:space="preserve">appropriate </w:t>
      </w:r>
      <w:r w:rsidRPr="00573FA5">
        <w:rPr>
          <w:rFonts w:ascii="Century Schoolbook" w:hAnsi="Century Schoolbook"/>
          <w:i/>
          <w:color w:val="000000" w:themeColor="text1"/>
        </w:rPr>
        <w:t>Lexecon</w:t>
      </w:r>
      <w:r w:rsidRPr="00573FA5">
        <w:rPr>
          <w:rFonts w:ascii="Century Schoolbook" w:hAnsi="Century Schoolbook"/>
          <w:color w:val="000000" w:themeColor="text1"/>
        </w:rPr>
        <w:t xml:space="preserve"> waivers, the judge should consider remanding representative cases back to the transferor districts for trial. Not only would this practice mitigate the risk of a single transferee judge exerting outsized influence on the proceedings, but it also would provide a wider range of information on the strength and weaknesses of individual cases adjudicated by juries and judges in different jurisdictions. Moreover, these bellwether trials would </w:t>
      </w:r>
      <w:r>
        <w:rPr>
          <w:rFonts w:ascii="Century Schoolbook" w:hAnsi="Century Schoolbook"/>
          <w:color w:val="000000" w:themeColor="text1"/>
        </w:rPr>
        <w:t xml:space="preserve">better </w:t>
      </w:r>
      <w:r w:rsidRPr="00573FA5">
        <w:rPr>
          <w:rFonts w:ascii="Century Schoolbook" w:hAnsi="Century Schoolbook"/>
          <w:color w:val="000000" w:themeColor="text1"/>
        </w:rPr>
        <w:t xml:space="preserve">reflect </w:t>
      </w:r>
      <w:r>
        <w:rPr>
          <w:rFonts w:ascii="Century Schoolbook" w:hAnsi="Century Schoolbook"/>
          <w:color w:val="000000" w:themeColor="text1"/>
        </w:rPr>
        <w:t xml:space="preserve">the jurisdictional </w:t>
      </w:r>
      <w:r w:rsidRPr="00573FA5">
        <w:rPr>
          <w:rFonts w:ascii="Century Schoolbook" w:hAnsi="Century Schoolbook"/>
          <w:color w:val="000000" w:themeColor="text1"/>
        </w:rPr>
        <w:t xml:space="preserve">variations in underlying substantive law. The downsides, of course, include the loss of efficiency germane to the transferee judge’s central administration of the MDL and the possibility for conflicting legal rulings, though the latter might provide useful information for settlement purposes. To make this approach workable, the transferee judge should ensure that the transferor judges </w:t>
      </w:r>
      <w:r>
        <w:rPr>
          <w:rFonts w:ascii="Century Schoolbook" w:hAnsi="Century Schoolbook"/>
          <w:color w:val="000000" w:themeColor="text1"/>
        </w:rPr>
        <w:t>receive</w:t>
      </w:r>
      <w:r w:rsidRPr="00573FA5">
        <w:rPr>
          <w:rFonts w:ascii="Century Schoolbook" w:hAnsi="Century Schoolbook"/>
          <w:color w:val="000000" w:themeColor="text1"/>
        </w:rPr>
        <w:t xml:space="preserve"> information sufficient to </w:t>
      </w:r>
      <w:r>
        <w:rPr>
          <w:rFonts w:ascii="Century Schoolbook" w:hAnsi="Century Schoolbook"/>
          <w:color w:val="000000" w:themeColor="text1"/>
        </w:rPr>
        <w:t xml:space="preserve">acquaint </w:t>
      </w:r>
      <w:r w:rsidRPr="00573FA5">
        <w:rPr>
          <w:rFonts w:ascii="Century Schoolbook" w:hAnsi="Century Schoolbook"/>
          <w:color w:val="000000" w:themeColor="text1"/>
        </w:rPr>
        <w:t xml:space="preserve">them </w:t>
      </w:r>
      <w:r>
        <w:rPr>
          <w:rFonts w:ascii="Century Schoolbook" w:hAnsi="Century Schoolbook"/>
          <w:color w:val="000000" w:themeColor="text1"/>
        </w:rPr>
        <w:t xml:space="preserve">with </w:t>
      </w:r>
      <w:r w:rsidRPr="00573FA5">
        <w:rPr>
          <w:rFonts w:ascii="Century Schoolbook" w:hAnsi="Century Schoolbook"/>
          <w:color w:val="000000" w:themeColor="text1"/>
        </w:rPr>
        <w:t xml:space="preserve">the pretrial developments that had unfolded in the transferee court. In this context, the transferee judge should </w:t>
      </w:r>
      <w:r w:rsidRPr="00573FA5">
        <w:rPr>
          <w:rFonts w:ascii="Century Schoolbook" w:hAnsi="Century Schoolbook"/>
          <w:color w:val="000000" w:themeColor="text1"/>
        </w:rPr>
        <w:lastRenderedPageBreak/>
        <w:t xml:space="preserve">consider handling the first bellwether proceedings. Rulings on substantive motions </w:t>
      </w:r>
      <w:r w:rsidR="000B7C86">
        <w:rPr>
          <w:rFonts w:ascii="Century Schoolbook" w:hAnsi="Century Schoolbook"/>
          <w:color w:val="000000" w:themeColor="text1"/>
        </w:rPr>
        <w:t xml:space="preserve">by the transferee judge </w:t>
      </w:r>
      <w:r w:rsidRPr="00573FA5">
        <w:rPr>
          <w:rFonts w:ascii="Century Schoolbook" w:hAnsi="Century Schoolbook"/>
          <w:color w:val="000000" w:themeColor="text1"/>
        </w:rPr>
        <w:t>would provide added information for subsequent proceedings remanded to transferor districts.</w:t>
      </w:r>
    </w:p>
    <w:p w:rsidR="00610156" w:rsidRPr="00573FA5" w:rsidRDefault="00610156" w:rsidP="00610156">
      <w:pPr>
        <w:pStyle w:val="BodyText"/>
        <w:ind w:firstLine="605"/>
        <w:contextualSpacing/>
        <w:rPr>
          <w:rFonts w:ascii="Century Schoolbook" w:hAnsi="Century Schoolbook"/>
          <w:color w:val="000000" w:themeColor="text1"/>
        </w:rPr>
      </w:pPr>
    </w:p>
    <w:p w:rsidR="00610156" w:rsidRPr="00573FA5" w:rsidRDefault="00CA3C6F" w:rsidP="000B7C86">
      <w:pPr>
        <w:pStyle w:val="BodyText"/>
        <w:ind w:firstLine="605"/>
        <w:contextualSpacing/>
        <w:rPr>
          <w:rFonts w:ascii="Century Schoolbook" w:hAnsi="Century Schoolbook"/>
          <w:i/>
          <w:color w:val="000000" w:themeColor="text1"/>
        </w:rPr>
      </w:pPr>
      <w:r w:rsidRPr="00573FA5">
        <w:rPr>
          <w:rFonts w:ascii="Century Schoolbook" w:hAnsi="Century Schoolbook"/>
          <w:color w:val="000000" w:themeColor="text1"/>
        </w:rPr>
        <w:t>The transferee judge would need to coordinate carefully with the transferor districts reasonable timetables so that prompt trials could be held.</w:t>
      </w:r>
      <w:r>
        <w:rPr>
          <w:rStyle w:val="FootnoteReference"/>
          <w:rFonts w:ascii="Century Schoolbook" w:hAnsi="Century Schoolbook"/>
          <w:color w:val="000000" w:themeColor="text1"/>
        </w:rPr>
        <w:footnoteReference w:id="22"/>
      </w:r>
      <w:r w:rsidRPr="00573FA5">
        <w:rPr>
          <w:rFonts w:ascii="Century Schoolbook" w:hAnsi="Century Schoolbook"/>
          <w:color w:val="000000" w:themeColor="text1"/>
        </w:rPr>
        <w:t xml:space="preserve"> Persuading other districts to </w:t>
      </w:r>
      <w:r>
        <w:rPr>
          <w:rFonts w:ascii="Century Schoolbook" w:hAnsi="Century Schoolbook"/>
          <w:color w:val="000000" w:themeColor="text1"/>
        </w:rPr>
        <w:t xml:space="preserve">coordinate </w:t>
      </w:r>
      <w:r w:rsidRPr="00573FA5">
        <w:rPr>
          <w:rFonts w:ascii="Century Schoolbook" w:hAnsi="Century Schoolbook"/>
          <w:color w:val="000000" w:themeColor="text1"/>
        </w:rPr>
        <w:t xml:space="preserve">trial schedules </w:t>
      </w:r>
      <w:r>
        <w:rPr>
          <w:rFonts w:ascii="Century Schoolbook" w:hAnsi="Century Schoolbook"/>
          <w:color w:val="000000" w:themeColor="text1"/>
        </w:rPr>
        <w:t xml:space="preserve">can </w:t>
      </w:r>
      <w:r w:rsidRPr="00573FA5">
        <w:rPr>
          <w:rFonts w:ascii="Century Schoolbook" w:hAnsi="Century Schoolbook"/>
          <w:color w:val="000000" w:themeColor="text1"/>
        </w:rPr>
        <w:t xml:space="preserve">be difficult, but the alternative of wholesale remand of all MDL cases, </w:t>
      </w:r>
      <w:r>
        <w:rPr>
          <w:rFonts w:ascii="Century Schoolbook" w:hAnsi="Century Schoolbook"/>
          <w:color w:val="000000" w:themeColor="text1"/>
        </w:rPr>
        <w:t>absent</w:t>
      </w:r>
      <w:r w:rsidRPr="00573FA5">
        <w:rPr>
          <w:rFonts w:ascii="Century Schoolbook" w:hAnsi="Century Schoolbook"/>
          <w:color w:val="000000" w:themeColor="text1"/>
        </w:rPr>
        <w:t xml:space="preserve"> settle</w:t>
      </w:r>
      <w:r>
        <w:rPr>
          <w:rFonts w:ascii="Century Schoolbook" w:hAnsi="Century Schoolbook"/>
          <w:color w:val="000000" w:themeColor="text1"/>
        </w:rPr>
        <w:t>ment</w:t>
      </w:r>
      <w:r w:rsidRPr="00573FA5">
        <w:rPr>
          <w:rFonts w:ascii="Century Schoolbook" w:hAnsi="Century Schoolbook"/>
          <w:color w:val="000000" w:themeColor="text1"/>
        </w:rPr>
        <w:t xml:space="preserve">, may encourage transferor judges to agree to resolve their bellwether trials promptly. </w:t>
      </w:r>
    </w:p>
    <w:p w:rsidR="00610156" w:rsidRDefault="00610156" w:rsidP="00610156">
      <w:pPr>
        <w:pStyle w:val="BodyText"/>
        <w:ind w:left="720" w:right="720"/>
        <w:contextualSpacing/>
        <w:jc w:val="both"/>
        <w:rPr>
          <w:rFonts w:ascii="Century Schoolbook" w:hAnsi="Century Schoolbook"/>
          <w:smallCaps/>
          <w:color w:val="000000" w:themeColor="text1"/>
        </w:rPr>
      </w:pPr>
    </w:p>
    <w:p w:rsidR="00610156" w:rsidRDefault="00CA3C6F" w:rsidP="00610156">
      <w:pPr>
        <w:pStyle w:val="BodyText"/>
        <w:ind w:left="720" w:right="720"/>
        <w:contextualSpacing/>
        <w:jc w:val="both"/>
        <w:rPr>
          <w:rFonts w:ascii="Century Schoolbook" w:hAnsi="Century Schoolbook"/>
          <w:color w:val="000000" w:themeColor="text1"/>
        </w:rPr>
      </w:pPr>
      <w:r w:rsidRPr="00573FA5">
        <w:rPr>
          <w:rFonts w:ascii="Century Schoolbook" w:hAnsi="Century Schoolbook"/>
          <w:smallCaps/>
          <w:color w:val="000000" w:themeColor="text1"/>
        </w:rPr>
        <w:t>Best Practice 1E(</w:t>
      </w:r>
      <w:r w:rsidRPr="00573FA5">
        <w:rPr>
          <w:rFonts w:ascii="Century Schoolbook" w:hAnsi="Century Schoolbook"/>
          <w:color w:val="000000" w:themeColor="text1"/>
        </w:rPr>
        <w:t>iii): The transferee judge and the parties should establish a process that requires collaborative selection of bellwether trial cases.</w:t>
      </w:r>
      <w:r>
        <w:rPr>
          <w:rStyle w:val="FootnoteReference"/>
          <w:rFonts w:ascii="Century Schoolbook" w:hAnsi="Century Schoolbook"/>
          <w:color w:val="000000" w:themeColor="text1"/>
        </w:rPr>
        <w:footnoteReference w:id="23"/>
      </w:r>
    </w:p>
    <w:p w:rsidR="00610156" w:rsidRPr="00573FA5" w:rsidRDefault="00610156" w:rsidP="00610156">
      <w:pPr>
        <w:pStyle w:val="BodyText"/>
        <w:ind w:left="720" w:right="720"/>
        <w:contextualSpacing/>
        <w:jc w:val="both"/>
        <w:rPr>
          <w:rFonts w:ascii="Century Schoolbook" w:hAnsi="Century Schoolbook"/>
          <w:color w:val="000000" w:themeColor="text1"/>
        </w:rPr>
      </w:pPr>
    </w:p>
    <w:p w:rsidR="00610156" w:rsidRDefault="00CA3C6F" w:rsidP="00610156">
      <w:pPr>
        <w:pStyle w:val="BodyText"/>
        <w:ind w:firstLine="720"/>
        <w:contextualSpacing/>
        <w:rPr>
          <w:rFonts w:ascii="Century Schoolbook" w:hAnsi="Century Schoolbook"/>
          <w:color w:val="000000" w:themeColor="text1"/>
        </w:rPr>
      </w:pPr>
      <w:r w:rsidRPr="00573FA5">
        <w:rPr>
          <w:rFonts w:ascii="Century Schoolbook" w:hAnsi="Century Schoolbook"/>
          <w:color w:val="000000" w:themeColor="text1"/>
        </w:rPr>
        <w:t xml:space="preserve">In designing a </w:t>
      </w:r>
      <w:r w:rsidR="000B7C86">
        <w:rPr>
          <w:rFonts w:ascii="Century Schoolbook" w:hAnsi="Century Schoolbook"/>
          <w:color w:val="000000" w:themeColor="text1"/>
        </w:rPr>
        <w:t>trial-</w:t>
      </w:r>
      <w:r w:rsidRPr="00573FA5">
        <w:rPr>
          <w:rFonts w:ascii="Century Schoolbook" w:hAnsi="Century Schoolbook"/>
          <w:color w:val="000000" w:themeColor="text1"/>
        </w:rPr>
        <w:t xml:space="preserve">selection protocol, the transferee judge should be mindful that bellwether trials are most beneficial if they: (a) produce decisions on key issues </w:t>
      </w:r>
      <w:r>
        <w:rPr>
          <w:rFonts w:ascii="Century Schoolbook" w:hAnsi="Century Schoolbook"/>
          <w:color w:val="000000" w:themeColor="text1"/>
        </w:rPr>
        <w:t xml:space="preserve">applicable </w:t>
      </w:r>
      <w:r w:rsidRPr="00573FA5">
        <w:rPr>
          <w:rFonts w:ascii="Century Schoolbook" w:hAnsi="Century Schoolbook"/>
          <w:color w:val="000000" w:themeColor="text1"/>
        </w:rPr>
        <w:t xml:space="preserve">to other cases in the proceeding (including on </w:t>
      </w:r>
      <w:r w:rsidRPr="00573FA5">
        <w:rPr>
          <w:rFonts w:ascii="Century Schoolbook" w:hAnsi="Century Schoolbook"/>
          <w:i/>
          <w:color w:val="000000" w:themeColor="text1"/>
        </w:rPr>
        <w:t xml:space="preserve">Daubert </w:t>
      </w:r>
      <w:r w:rsidRPr="00573FA5">
        <w:rPr>
          <w:rFonts w:ascii="Century Schoolbook" w:hAnsi="Century Schoolbook"/>
          <w:color w:val="000000" w:themeColor="text1"/>
        </w:rPr>
        <w:t xml:space="preserve">issues, cross-cutting summary-judgment arguments, and the admissibility of key evidence); and (b) help the parties assess the strengths and weaknesses of various types of claims pending in the MDL proceeding. </w:t>
      </w:r>
      <w:r>
        <w:rPr>
          <w:rFonts w:ascii="Century Schoolbook" w:hAnsi="Century Schoolbook"/>
          <w:color w:val="000000" w:themeColor="text1"/>
        </w:rPr>
        <w:t>To</w:t>
      </w:r>
      <w:r w:rsidRPr="00573FA5">
        <w:rPr>
          <w:rFonts w:ascii="Century Schoolbook" w:hAnsi="Century Schoolbook"/>
          <w:color w:val="000000" w:themeColor="text1"/>
        </w:rPr>
        <w:t xml:space="preserve"> th</w:t>
      </w:r>
      <w:r>
        <w:rPr>
          <w:rFonts w:ascii="Century Schoolbook" w:hAnsi="Century Schoolbook"/>
          <w:color w:val="000000" w:themeColor="text1"/>
        </w:rPr>
        <w:t>at</w:t>
      </w:r>
      <w:r w:rsidRPr="00573FA5">
        <w:rPr>
          <w:rFonts w:ascii="Century Schoolbook" w:hAnsi="Century Schoolbook"/>
          <w:color w:val="000000" w:themeColor="text1"/>
        </w:rPr>
        <w:t xml:space="preserve"> end, the key </w:t>
      </w:r>
      <w:r w:rsidR="000B7C86">
        <w:rPr>
          <w:rFonts w:ascii="Century Schoolbook" w:hAnsi="Century Schoolbook"/>
          <w:color w:val="000000" w:themeColor="text1"/>
        </w:rPr>
        <w:t xml:space="preserve">is to </w:t>
      </w:r>
      <w:r w:rsidRPr="00573FA5">
        <w:rPr>
          <w:rFonts w:ascii="Century Schoolbook" w:hAnsi="Century Schoolbook"/>
          <w:color w:val="000000" w:themeColor="text1"/>
        </w:rPr>
        <w:t>select cases that are representative of the entire claimant pool (or of specified categories in that pool). The most popular methods are: (1) random selection of cases from the entire case pool; and (2) selection of cases by the parties (usually with</w:t>
      </w:r>
      <w:r w:rsidRPr="00573FA5">
        <w:rPr>
          <w:rFonts w:ascii="Century Schoolbook" w:hAnsi="Century Schoolbook"/>
          <w:color w:val="000000" w:themeColor="text1"/>
          <w:spacing w:val="-24"/>
        </w:rPr>
        <w:t xml:space="preserve"> </w:t>
      </w:r>
      <w:r w:rsidRPr="00573FA5">
        <w:rPr>
          <w:rFonts w:ascii="Century Schoolbook" w:hAnsi="Century Schoolbook"/>
          <w:color w:val="000000" w:themeColor="text1"/>
        </w:rPr>
        <w:t>strikes).</w:t>
      </w:r>
    </w:p>
    <w:p w:rsidR="009E622F" w:rsidRPr="00573FA5" w:rsidRDefault="009E622F" w:rsidP="00610156">
      <w:pPr>
        <w:pStyle w:val="BodyText"/>
        <w:ind w:firstLine="720"/>
        <w:contextualSpacing/>
        <w:rPr>
          <w:rFonts w:ascii="Century Schoolbook" w:hAnsi="Century Schoolbook"/>
          <w:color w:val="000000" w:themeColor="text1"/>
        </w:rPr>
      </w:pPr>
    </w:p>
    <w:p w:rsidR="00610156" w:rsidRDefault="00CA3C6F" w:rsidP="00610156">
      <w:pPr>
        <w:pStyle w:val="BodyText"/>
        <w:ind w:firstLine="720"/>
        <w:contextualSpacing/>
        <w:rPr>
          <w:rFonts w:ascii="Century Schoolbook" w:hAnsi="Century Schoolbook"/>
          <w:color w:val="000000" w:themeColor="text1"/>
        </w:rPr>
      </w:pPr>
      <w:r w:rsidRPr="00573FA5">
        <w:rPr>
          <w:rFonts w:ascii="Century Schoolbook" w:hAnsi="Century Schoolbook"/>
          <w:color w:val="000000" w:themeColor="text1"/>
        </w:rPr>
        <w:t xml:space="preserve">The </w:t>
      </w:r>
      <w:r w:rsidRPr="00573FA5">
        <w:rPr>
          <w:rFonts w:ascii="Century Schoolbook" w:hAnsi="Century Schoolbook"/>
          <w:i/>
          <w:color w:val="000000" w:themeColor="text1"/>
        </w:rPr>
        <w:t xml:space="preserve">Manual for Complex Litigation </w:t>
      </w:r>
      <w:r w:rsidRPr="00573FA5">
        <w:rPr>
          <w:rFonts w:ascii="Century Schoolbook" w:hAnsi="Century Schoolbook"/>
          <w:color w:val="000000" w:themeColor="text1"/>
        </w:rPr>
        <w:t xml:space="preserve">endorses random selection as </w:t>
      </w:r>
      <w:r>
        <w:rPr>
          <w:rFonts w:ascii="Century Schoolbook" w:hAnsi="Century Schoolbook"/>
          <w:color w:val="000000" w:themeColor="text1"/>
        </w:rPr>
        <w:t>the preferred</w:t>
      </w:r>
      <w:r w:rsidRPr="00573FA5">
        <w:rPr>
          <w:rFonts w:ascii="Century Schoolbook" w:hAnsi="Century Schoolbook"/>
          <w:color w:val="000000" w:themeColor="text1"/>
        </w:rPr>
        <w:t xml:space="preserve"> means of identifying representative cases: “To obtain the most representative cases from the available pool, a judge should direct the parties to select test cases randomly from the entire pool or from a limited group of cases that the parties agree are typical of the entire mix.”</w:t>
      </w:r>
      <w:r>
        <w:rPr>
          <w:rStyle w:val="FootnoteReference"/>
          <w:rFonts w:ascii="Century Schoolbook" w:hAnsi="Century Schoolbook"/>
          <w:color w:val="000000" w:themeColor="text1"/>
        </w:rPr>
        <w:footnoteReference w:id="24"/>
      </w:r>
      <w:r w:rsidRPr="00573FA5">
        <w:rPr>
          <w:rFonts w:ascii="Century Schoolbook" w:hAnsi="Century Schoolbook"/>
          <w:color w:val="000000" w:themeColor="text1"/>
          <w:position w:val="11"/>
        </w:rPr>
        <w:t xml:space="preserve"> </w:t>
      </w:r>
      <w:r w:rsidRPr="00573FA5">
        <w:rPr>
          <w:rFonts w:ascii="Century Schoolbook" w:hAnsi="Century Schoolbook"/>
          <w:color w:val="000000" w:themeColor="text1"/>
        </w:rPr>
        <w:t xml:space="preserve">Some MDL judges have embraced this approach and adopted random selection methods for identifying test-trial candidates. For example, in </w:t>
      </w:r>
      <w:r w:rsidRPr="00573FA5">
        <w:rPr>
          <w:rFonts w:ascii="Century Schoolbook" w:hAnsi="Century Schoolbook"/>
          <w:i/>
          <w:color w:val="000000" w:themeColor="text1"/>
        </w:rPr>
        <w:t>In re Baycol Products Litigation</w:t>
      </w:r>
      <w:r w:rsidRPr="00573FA5">
        <w:rPr>
          <w:rFonts w:ascii="Century Schoolbook" w:hAnsi="Century Schoolbook"/>
          <w:color w:val="000000" w:themeColor="text1"/>
        </w:rPr>
        <w:t xml:space="preserve">, the court’s selection program included all cases filed in the District of Minnesota involving Minnesota residents plus a minimum of 200 additional cases selected at random from all MDL </w:t>
      </w:r>
      <w:r w:rsidRPr="00573FA5">
        <w:rPr>
          <w:rFonts w:ascii="Century Schoolbook" w:hAnsi="Century Schoolbook"/>
          <w:color w:val="000000" w:themeColor="text1"/>
        </w:rPr>
        <w:lastRenderedPageBreak/>
        <w:t>filed cases.</w:t>
      </w:r>
      <w:r>
        <w:rPr>
          <w:rStyle w:val="FootnoteReference"/>
          <w:rFonts w:ascii="Century Schoolbook" w:hAnsi="Century Schoolbook"/>
          <w:color w:val="000000" w:themeColor="text1"/>
        </w:rPr>
        <w:footnoteReference w:id="25"/>
      </w:r>
      <w:r w:rsidRPr="00573FA5">
        <w:rPr>
          <w:rFonts w:ascii="Century Schoolbook" w:hAnsi="Century Schoolbook"/>
          <w:color w:val="000000" w:themeColor="text1"/>
        </w:rPr>
        <w:t xml:space="preserve"> And in </w:t>
      </w:r>
      <w:r w:rsidRPr="00573FA5">
        <w:rPr>
          <w:rFonts w:ascii="Century Schoolbook" w:hAnsi="Century Schoolbook"/>
          <w:i/>
          <w:color w:val="000000" w:themeColor="text1"/>
        </w:rPr>
        <w:t>In re Prempro Products Liability Litigation</w:t>
      </w:r>
      <w:r w:rsidRPr="00573FA5">
        <w:rPr>
          <w:rFonts w:ascii="Century Schoolbook" w:hAnsi="Century Schoolbook"/>
          <w:color w:val="000000" w:themeColor="text1"/>
        </w:rPr>
        <w:t>, 15 cases were randomly drawn from a hat.</w:t>
      </w:r>
      <w:r>
        <w:rPr>
          <w:rStyle w:val="FootnoteReference"/>
          <w:rFonts w:ascii="Century Schoolbook" w:hAnsi="Century Schoolbook"/>
          <w:color w:val="000000" w:themeColor="text1"/>
        </w:rPr>
        <w:footnoteReference w:id="26"/>
      </w:r>
      <w:r w:rsidRPr="00573FA5">
        <w:rPr>
          <w:rFonts w:ascii="Century Schoolbook" w:hAnsi="Century Schoolbook"/>
          <w:color w:val="000000" w:themeColor="text1"/>
        </w:rPr>
        <w:t xml:space="preserve"> However, some commentators have expressed the view that random selection will rarely result in the selection of representative cases.</w:t>
      </w:r>
      <w:bookmarkStart w:id="4" w:name="_Ref507221110"/>
      <w:r>
        <w:rPr>
          <w:rStyle w:val="FootnoteReference"/>
          <w:rFonts w:ascii="Century Schoolbook" w:hAnsi="Century Schoolbook"/>
          <w:color w:val="000000" w:themeColor="text1"/>
        </w:rPr>
        <w:footnoteReference w:id="27"/>
      </w:r>
      <w:bookmarkEnd w:id="4"/>
    </w:p>
    <w:p w:rsidR="00F2448D" w:rsidRPr="00573FA5" w:rsidRDefault="00F2448D" w:rsidP="00610156">
      <w:pPr>
        <w:pStyle w:val="BodyText"/>
        <w:ind w:firstLine="720"/>
        <w:contextualSpacing/>
        <w:rPr>
          <w:rFonts w:ascii="Century Schoolbook" w:hAnsi="Century Schoolbook"/>
          <w:color w:val="000000" w:themeColor="text1"/>
        </w:rPr>
      </w:pPr>
    </w:p>
    <w:p w:rsidR="00610156" w:rsidRPr="00573FA5" w:rsidRDefault="00CA3C6F" w:rsidP="00610156">
      <w:pPr>
        <w:pStyle w:val="BodyText"/>
        <w:ind w:firstLine="600"/>
        <w:contextualSpacing/>
        <w:rPr>
          <w:rFonts w:ascii="Century Schoolbook" w:hAnsi="Century Schoolbook"/>
          <w:color w:val="000000" w:themeColor="text1"/>
        </w:rPr>
      </w:pPr>
      <w:r w:rsidRPr="00573FA5">
        <w:rPr>
          <w:rFonts w:ascii="Century Schoolbook" w:hAnsi="Century Schoolbook"/>
          <w:color w:val="000000" w:themeColor="text1"/>
        </w:rPr>
        <w:t xml:space="preserve">Another approach is to give the parties input into the bellwether trial selection process. For example, in </w:t>
      </w:r>
      <w:r w:rsidRPr="00573FA5">
        <w:rPr>
          <w:rFonts w:ascii="Century Schoolbook" w:hAnsi="Century Schoolbook"/>
          <w:i/>
          <w:color w:val="000000" w:themeColor="text1"/>
        </w:rPr>
        <w:t>In re Vioxx Products Liability Litigation</w:t>
      </w:r>
      <w:r w:rsidRPr="00573FA5">
        <w:rPr>
          <w:rFonts w:ascii="Century Schoolbook" w:hAnsi="Century Schoolbook"/>
          <w:color w:val="000000" w:themeColor="text1"/>
        </w:rPr>
        <w:t>,</w:t>
      </w:r>
      <w:r>
        <w:rPr>
          <w:rStyle w:val="FootnoteReference"/>
          <w:rFonts w:ascii="Century Schoolbook" w:hAnsi="Century Schoolbook"/>
          <w:color w:val="000000" w:themeColor="text1"/>
        </w:rPr>
        <w:footnoteReference w:id="28"/>
      </w:r>
      <w:r w:rsidRPr="00573FA5">
        <w:rPr>
          <w:rFonts w:ascii="Century Schoolbook" w:hAnsi="Century Schoolbook"/>
          <w:color w:val="000000" w:themeColor="text1"/>
          <w:position w:val="11"/>
        </w:rPr>
        <w:t xml:space="preserve"> </w:t>
      </w:r>
      <w:r w:rsidRPr="00573FA5">
        <w:rPr>
          <w:rFonts w:ascii="Century Schoolbook" w:hAnsi="Century Schoolbook"/>
          <w:color w:val="000000" w:themeColor="text1"/>
        </w:rPr>
        <w:t xml:space="preserve">the PSC and Defendant’s Steering Committee were each permitted to designate for trial five bellwether cases involving </w:t>
      </w:r>
      <w:r>
        <w:rPr>
          <w:rFonts w:ascii="Century Schoolbook" w:hAnsi="Century Schoolbook"/>
          <w:color w:val="000000" w:themeColor="text1"/>
        </w:rPr>
        <w:t>the most serious condition</w:t>
      </w:r>
      <w:r w:rsidRPr="00573FA5">
        <w:rPr>
          <w:rFonts w:ascii="Century Schoolbook" w:hAnsi="Century Schoolbook"/>
          <w:color w:val="000000" w:themeColor="text1"/>
        </w:rPr>
        <w:t xml:space="preserve"> allegedly caused by Vioxx. Each side was given two strikes with the remaining cases set for trial on a rotating basis, starting with one of the plaintiff’s selections.</w:t>
      </w:r>
      <w:r>
        <w:rPr>
          <w:rStyle w:val="FootnoteReference"/>
          <w:rFonts w:ascii="Century Schoolbook" w:hAnsi="Century Schoolbook"/>
          <w:color w:val="000000" w:themeColor="text1"/>
        </w:rPr>
        <w:footnoteReference w:id="29"/>
      </w:r>
      <w:r w:rsidRPr="00573FA5">
        <w:rPr>
          <w:rFonts w:ascii="Century Schoolbook" w:hAnsi="Century Schoolbook"/>
          <w:color w:val="000000" w:themeColor="text1"/>
        </w:rPr>
        <w:t xml:space="preserve"> As Judge Eldon Fallon noted in an article published after the </w:t>
      </w:r>
      <w:r w:rsidRPr="00573FA5">
        <w:rPr>
          <w:rFonts w:ascii="Century Schoolbook" w:hAnsi="Century Schoolbook"/>
          <w:i/>
          <w:color w:val="000000" w:themeColor="text1"/>
        </w:rPr>
        <w:t xml:space="preserve">Vioxx </w:t>
      </w:r>
      <w:r w:rsidRPr="00573FA5">
        <w:rPr>
          <w:rFonts w:ascii="Century Schoolbook" w:hAnsi="Century Schoolbook"/>
          <w:color w:val="000000" w:themeColor="text1"/>
        </w:rPr>
        <w:t xml:space="preserve">settlement, the alternate-selection approach used in </w:t>
      </w:r>
      <w:r w:rsidRPr="00573FA5">
        <w:rPr>
          <w:rFonts w:ascii="Century Schoolbook" w:hAnsi="Century Schoolbook"/>
          <w:i/>
          <w:color w:val="000000" w:themeColor="text1"/>
        </w:rPr>
        <w:t xml:space="preserve">In re Vioxx </w:t>
      </w:r>
      <w:r w:rsidRPr="00573FA5">
        <w:rPr>
          <w:rFonts w:ascii="Century Schoolbook" w:hAnsi="Century Schoolbook"/>
          <w:color w:val="000000" w:themeColor="text1"/>
        </w:rPr>
        <w:t>is preferable to allowing “only one side” to select bellwether trial cases, which “opens the door for the</w:t>
      </w:r>
      <w:r w:rsidRPr="00573FA5">
        <w:rPr>
          <w:rFonts w:ascii="Century Schoolbook" w:hAnsi="Century Schoolbook"/>
          <w:color w:val="000000" w:themeColor="text1"/>
          <w:spacing w:val="25"/>
        </w:rPr>
        <w:t xml:space="preserve"> </w:t>
      </w:r>
      <w:r w:rsidRPr="00573FA5">
        <w:rPr>
          <w:rFonts w:ascii="Century Schoolbook" w:hAnsi="Century Schoolbook"/>
          <w:color w:val="000000" w:themeColor="text1"/>
        </w:rPr>
        <w:t>inequitable</w:t>
      </w:r>
      <w:r w:rsidRPr="00573FA5">
        <w:rPr>
          <w:rFonts w:ascii="Century Schoolbook" w:hAnsi="Century Schoolbook"/>
          <w:color w:val="000000" w:themeColor="text1"/>
          <w:spacing w:val="25"/>
        </w:rPr>
        <w:t xml:space="preserve"> </w:t>
      </w:r>
      <w:r w:rsidRPr="00573FA5">
        <w:rPr>
          <w:rFonts w:ascii="Century Schoolbook" w:hAnsi="Century Schoolbook"/>
          <w:color w:val="000000" w:themeColor="text1"/>
        </w:rPr>
        <w:t>stacking</w:t>
      </w:r>
      <w:r w:rsidRPr="00573FA5">
        <w:rPr>
          <w:rFonts w:ascii="Century Schoolbook" w:hAnsi="Century Schoolbook"/>
          <w:color w:val="000000" w:themeColor="text1"/>
          <w:spacing w:val="25"/>
        </w:rPr>
        <w:t xml:space="preserve"> </w:t>
      </w:r>
      <w:r w:rsidRPr="00573FA5">
        <w:rPr>
          <w:rFonts w:ascii="Century Schoolbook" w:hAnsi="Century Schoolbook"/>
          <w:color w:val="000000" w:themeColor="text1"/>
        </w:rPr>
        <w:t>of</w:t>
      </w:r>
      <w:r w:rsidRPr="00573FA5">
        <w:rPr>
          <w:rFonts w:ascii="Century Schoolbook" w:hAnsi="Century Schoolbook"/>
          <w:color w:val="000000" w:themeColor="text1"/>
          <w:spacing w:val="25"/>
        </w:rPr>
        <w:t xml:space="preserve"> </w:t>
      </w:r>
      <w:r w:rsidRPr="00573FA5">
        <w:rPr>
          <w:rFonts w:ascii="Century Schoolbook" w:hAnsi="Century Schoolbook"/>
          <w:color w:val="000000" w:themeColor="text1"/>
        </w:rPr>
        <w:t>overtly</w:t>
      </w:r>
      <w:r w:rsidRPr="00573FA5">
        <w:rPr>
          <w:rFonts w:ascii="Century Schoolbook" w:hAnsi="Century Schoolbook"/>
          <w:color w:val="000000" w:themeColor="text1"/>
          <w:spacing w:val="25"/>
        </w:rPr>
        <w:t xml:space="preserve"> </w:t>
      </w:r>
      <w:r w:rsidRPr="00573FA5">
        <w:rPr>
          <w:rFonts w:ascii="Century Schoolbook" w:hAnsi="Century Schoolbook"/>
          <w:color w:val="000000" w:themeColor="text1"/>
        </w:rPr>
        <w:t>unfavorable</w:t>
      </w:r>
      <w:r w:rsidRPr="00573FA5">
        <w:rPr>
          <w:rFonts w:ascii="Century Schoolbook" w:hAnsi="Century Schoolbook"/>
          <w:color w:val="000000" w:themeColor="text1"/>
          <w:spacing w:val="25"/>
        </w:rPr>
        <w:t xml:space="preserve"> </w:t>
      </w:r>
      <w:r w:rsidRPr="00573FA5">
        <w:rPr>
          <w:rFonts w:ascii="Century Schoolbook" w:hAnsi="Century Schoolbook"/>
          <w:color w:val="000000" w:themeColor="text1"/>
        </w:rPr>
        <w:t>and</w:t>
      </w:r>
      <w:r w:rsidRPr="00573FA5">
        <w:rPr>
          <w:rFonts w:ascii="Century Schoolbook" w:hAnsi="Century Schoolbook"/>
          <w:color w:val="000000" w:themeColor="text1"/>
          <w:spacing w:val="25"/>
        </w:rPr>
        <w:t xml:space="preserve"> </w:t>
      </w:r>
      <w:r w:rsidRPr="00573FA5">
        <w:rPr>
          <w:rFonts w:ascii="Century Schoolbook" w:hAnsi="Century Schoolbook"/>
          <w:color w:val="000000" w:themeColor="text1"/>
        </w:rPr>
        <w:t>possibly</w:t>
      </w:r>
      <w:r w:rsidRPr="00573FA5">
        <w:rPr>
          <w:rFonts w:ascii="Century Schoolbook" w:hAnsi="Century Schoolbook"/>
          <w:color w:val="000000" w:themeColor="text1"/>
          <w:spacing w:val="25"/>
        </w:rPr>
        <w:t xml:space="preserve"> </w:t>
      </w:r>
      <w:r w:rsidRPr="00573FA5">
        <w:rPr>
          <w:rFonts w:ascii="Century Schoolbook" w:hAnsi="Century Schoolbook"/>
          <w:color w:val="000000" w:themeColor="text1"/>
        </w:rPr>
        <w:t>unrepresentative</w:t>
      </w:r>
      <w:r w:rsidRPr="00573FA5">
        <w:rPr>
          <w:rFonts w:ascii="Century Schoolbook" w:hAnsi="Century Schoolbook"/>
          <w:color w:val="000000" w:themeColor="text1"/>
          <w:spacing w:val="25"/>
        </w:rPr>
        <w:t xml:space="preserve"> </w:t>
      </w:r>
      <w:r w:rsidRPr="00573FA5">
        <w:rPr>
          <w:rFonts w:ascii="Century Schoolbook" w:hAnsi="Century Schoolbook"/>
          <w:color w:val="000000" w:themeColor="text1"/>
        </w:rPr>
        <w:t>cases,</w:t>
      </w:r>
      <w:r w:rsidRPr="00573FA5">
        <w:rPr>
          <w:rFonts w:ascii="Century Schoolbook" w:hAnsi="Century Schoolbook"/>
          <w:color w:val="000000" w:themeColor="text1"/>
          <w:spacing w:val="25"/>
        </w:rPr>
        <w:t xml:space="preserve"> </w:t>
      </w:r>
      <w:r w:rsidRPr="00573FA5">
        <w:rPr>
          <w:rFonts w:ascii="Century Schoolbook" w:hAnsi="Century Schoolbook"/>
          <w:color w:val="000000" w:themeColor="text1"/>
        </w:rPr>
        <w:t>as</w:t>
      </w:r>
      <w:r w:rsidRPr="00573FA5">
        <w:rPr>
          <w:rFonts w:ascii="Century Schoolbook" w:hAnsi="Century Schoolbook"/>
          <w:color w:val="000000" w:themeColor="text1"/>
          <w:spacing w:val="25"/>
        </w:rPr>
        <w:t xml:space="preserve"> </w:t>
      </w:r>
      <w:r w:rsidRPr="00573FA5">
        <w:rPr>
          <w:rFonts w:ascii="Century Schoolbook" w:hAnsi="Century Schoolbook"/>
          <w:color w:val="000000" w:themeColor="text1"/>
        </w:rPr>
        <w:t>well</w:t>
      </w:r>
      <w:r w:rsidRPr="00573FA5">
        <w:rPr>
          <w:rFonts w:ascii="Century Schoolbook" w:hAnsi="Century Schoolbook"/>
          <w:color w:val="000000" w:themeColor="text1"/>
          <w:spacing w:val="25"/>
        </w:rPr>
        <w:t xml:space="preserve"> </w:t>
      </w:r>
      <w:r w:rsidRPr="00573FA5">
        <w:rPr>
          <w:rFonts w:ascii="Century Schoolbook" w:hAnsi="Century Schoolbook"/>
          <w:color w:val="000000" w:themeColor="text1"/>
        </w:rPr>
        <w:t>as creating an atmosphere of antagonism.”</w:t>
      </w:r>
      <w:r>
        <w:rPr>
          <w:rStyle w:val="FootnoteReference"/>
          <w:rFonts w:ascii="Century Schoolbook" w:hAnsi="Century Schoolbook"/>
          <w:color w:val="000000" w:themeColor="text1"/>
        </w:rPr>
        <w:footnoteReference w:id="30"/>
      </w:r>
      <w:r w:rsidRPr="00573FA5">
        <w:rPr>
          <w:rFonts w:ascii="Century Schoolbook" w:hAnsi="Century Schoolbook"/>
          <w:color w:val="000000" w:themeColor="text1"/>
          <w:position w:val="11"/>
        </w:rPr>
        <w:t xml:space="preserve"> </w:t>
      </w:r>
      <w:r w:rsidRPr="00573FA5">
        <w:rPr>
          <w:rFonts w:ascii="Century Schoolbook" w:hAnsi="Century Schoolbook"/>
          <w:color w:val="000000" w:themeColor="text1"/>
        </w:rPr>
        <w:t>Further, allowing “both sides of coordinating attorneys [to] make selections by exercising alternating picks” is “the most useful approach” to bellwether trial selection because it “institutes fairness and attorney participation, while maintaining efficiency and placing the burden of ensuring representative cases on those with the most stake in the trial selection process.”</w:t>
      </w:r>
      <w:r>
        <w:rPr>
          <w:rStyle w:val="FootnoteReference"/>
          <w:rFonts w:ascii="Century Schoolbook" w:hAnsi="Century Schoolbook"/>
          <w:color w:val="000000" w:themeColor="text1"/>
        </w:rPr>
        <w:footnoteReference w:id="31"/>
      </w:r>
      <w:r w:rsidRPr="00573FA5">
        <w:rPr>
          <w:rFonts w:ascii="Century Schoolbook" w:hAnsi="Century Schoolbook"/>
          <w:color w:val="000000" w:themeColor="text1"/>
          <w:position w:val="11"/>
        </w:rPr>
        <w:t xml:space="preserve"> </w:t>
      </w:r>
      <w:r w:rsidRPr="00573FA5">
        <w:rPr>
          <w:rFonts w:ascii="Century Schoolbook" w:hAnsi="Century Schoolbook"/>
          <w:color w:val="000000" w:themeColor="text1"/>
        </w:rPr>
        <w:t>Such collaborative approaches give the</w:t>
      </w:r>
      <w:r w:rsidRPr="00573FA5">
        <w:rPr>
          <w:rFonts w:ascii="Century Schoolbook" w:hAnsi="Century Schoolbook"/>
          <w:color w:val="000000" w:themeColor="text1"/>
          <w:spacing w:val="-4"/>
        </w:rPr>
        <w:t xml:space="preserve"> </w:t>
      </w:r>
      <w:r w:rsidRPr="00573FA5">
        <w:rPr>
          <w:rFonts w:ascii="Century Schoolbook" w:hAnsi="Century Schoolbook"/>
          <w:color w:val="000000" w:themeColor="text1"/>
        </w:rPr>
        <w:t>parties “better control over the representative characteristics of the cases selected” and are therefore more likely to result in bellwether cases that are typical of the litigation pool.</w:t>
      </w:r>
      <w:r>
        <w:rPr>
          <w:rStyle w:val="FootnoteReference"/>
          <w:rFonts w:ascii="Century Schoolbook" w:hAnsi="Century Schoolbook"/>
          <w:color w:val="000000" w:themeColor="text1"/>
        </w:rPr>
        <w:footnoteReference w:id="32"/>
      </w:r>
    </w:p>
    <w:p w:rsidR="00610156" w:rsidRPr="00573FA5" w:rsidRDefault="00610156" w:rsidP="00610156">
      <w:pPr>
        <w:pStyle w:val="BodyText"/>
        <w:ind w:right="115" w:firstLine="720"/>
        <w:contextualSpacing/>
        <w:rPr>
          <w:rFonts w:ascii="Century Schoolbook" w:hAnsi="Century Schoolbook"/>
          <w:color w:val="000000" w:themeColor="text1"/>
        </w:rPr>
      </w:pPr>
    </w:p>
    <w:p w:rsidR="001F21DD" w:rsidRDefault="001F21DD" w:rsidP="001F21DD">
      <w:pPr>
        <w:pStyle w:val="BodyText"/>
        <w:ind w:firstLine="600"/>
        <w:contextualSpacing/>
        <w:rPr>
          <w:rFonts w:ascii="Century Schoolbook" w:hAnsi="Century Schoolbook"/>
          <w:color w:val="000000" w:themeColor="text1"/>
        </w:rPr>
      </w:pPr>
      <w:r w:rsidRPr="00C14444">
        <w:rPr>
          <w:rFonts w:ascii="Century Schoolbook" w:hAnsi="Century Schoolbook"/>
          <w:color w:val="000000" w:themeColor="text1"/>
        </w:rPr>
        <w:t>Judge Fallon took a different approach</w:t>
      </w:r>
      <w:r>
        <w:rPr>
          <w:rFonts w:ascii="Century Schoolbook" w:hAnsi="Century Schoolbook"/>
          <w:color w:val="000000" w:themeColor="text1"/>
        </w:rPr>
        <w:t>, however,</w:t>
      </w:r>
      <w:r w:rsidRPr="00C14444">
        <w:rPr>
          <w:rFonts w:ascii="Century Schoolbook" w:hAnsi="Century Schoolbook"/>
          <w:color w:val="000000" w:themeColor="text1"/>
        </w:rPr>
        <w:t xml:space="preserve"> more recently in </w:t>
      </w:r>
      <w:r>
        <w:rPr>
          <w:rFonts w:ascii="Century Schoolbook" w:hAnsi="Century Schoolbook"/>
          <w:color w:val="000000" w:themeColor="text1"/>
        </w:rPr>
        <w:t xml:space="preserve">the </w:t>
      </w:r>
      <w:r w:rsidRPr="009E622F">
        <w:rPr>
          <w:rFonts w:ascii="Century Schoolbook" w:hAnsi="Century Schoolbook"/>
          <w:i/>
          <w:color w:val="000000" w:themeColor="text1"/>
        </w:rPr>
        <w:t>Xarelto</w:t>
      </w:r>
      <w:r w:rsidRPr="00C14444">
        <w:rPr>
          <w:rFonts w:ascii="Century Schoolbook" w:hAnsi="Century Schoolbook"/>
          <w:color w:val="000000" w:themeColor="text1"/>
        </w:rPr>
        <w:t xml:space="preserve">® MDL, creating a bellwether pool consisting of cases selected by the plaintiffs, the defense and randomly, and then randomly picking the bellwether trial cases from a pool which was created through a strike process by the parties.  </w:t>
      </w:r>
    </w:p>
    <w:p w:rsidR="001F21DD" w:rsidRPr="00C14444" w:rsidRDefault="001F21DD" w:rsidP="001F21DD">
      <w:pPr>
        <w:pStyle w:val="BodyText"/>
        <w:ind w:firstLine="600"/>
        <w:contextualSpacing/>
        <w:rPr>
          <w:rFonts w:ascii="Century Schoolbook" w:hAnsi="Century Schoolbook"/>
          <w:color w:val="000000" w:themeColor="text1"/>
        </w:rPr>
      </w:pPr>
    </w:p>
    <w:p w:rsidR="001F21DD" w:rsidRDefault="001F21DD" w:rsidP="001F21DD">
      <w:pPr>
        <w:pStyle w:val="BodyText"/>
        <w:ind w:firstLine="600"/>
        <w:contextualSpacing/>
        <w:rPr>
          <w:rFonts w:ascii="Century Schoolbook" w:hAnsi="Century Schoolbook"/>
          <w:color w:val="000000" w:themeColor="text1"/>
        </w:rPr>
      </w:pPr>
      <w:r w:rsidRPr="00C14444">
        <w:rPr>
          <w:rFonts w:ascii="Century Schoolbook" w:hAnsi="Century Schoolbook"/>
          <w:color w:val="000000" w:themeColor="text1"/>
        </w:rPr>
        <w:t xml:space="preserve">Another approach is to give the parties input but vest the ultimate selection with the court.  </w:t>
      </w:r>
      <w:r>
        <w:rPr>
          <w:rFonts w:ascii="Century Schoolbook" w:hAnsi="Century Schoolbook"/>
          <w:color w:val="000000" w:themeColor="text1"/>
        </w:rPr>
        <w:t>I</w:t>
      </w:r>
      <w:r w:rsidRPr="00C14444">
        <w:rPr>
          <w:rFonts w:ascii="Century Schoolbook" w:hAnsi="Century Schoolbook"/>
          <w:color w:val="000000" w:themeColor="text1"/>
        </w:rPr>
        <w:t xml:space="preserve">n </w:t>
      </w:r>
      <w:r w:rsidRPr="008D07D1">
        <w:rPr>
          <w:rFonts w:ascii="Century Schoolbook" w:hAnsi="Century Schoolbook"/>
          <w:i/>
          <w:color w:val="000000" w:themeColor="text1"/>
        </w:rPr>
        <w:t>In re: DePuy Orthopaedics, Inc.</w:t>
      </w:r>
      <w:r w:rsidRPr="00C14444">
        <w:rPr>
          <w:rFonts w:ascii="Century Schoolbook" w:hAnsi="Century Schoolbook"/>
          <w:color w:val="000000" w:themeColor="text1"/>
        </w:rPr>
        <w:t xml:space="preserve">, the parties initially selected four cases each as bellwether trial candidates and certain case specific discovery ensued. </w:t>
      </w:r>
      <w:r w:rsidRPr="00C14444">
        <w:rPr>
          <w:rFonts w:ascii="Century Schoolbook" w:hAnsi="Century Schoolbook"/>
          <w:color w:val="000000" w:themeColor="text1"/>
        </w:rPr>
        <w:lastRenderedPageBreak/>
        <w:t>The parties then filed submissions setting forth which cases each party thought should be designated as a case to be tried in a bellwether trial. The parties were encouraged to agree upon cases to be designated, but if they could not, the court, after reviewing the submissions, would pick a primary and a backup bellwether trial case for two back-to-back bellwether trials.</w:t>
      </w:r>
    </w:p>
    <w:p w:rsidR="001F21DD" w:rsidRPr="00C14444" w:rsidRDefault="001F21DD" w:rsidP="001F21DD">
      <w:pPr>
        <w:pStyle w:val="BodyText"/>
        <w:ind w:firstLine="600"/>
        <w:contextualSpacing/>
        <w:rPr>
          <w:rFonts w:ascii="Century Schoolbook" w:hAnsi="Century Schoolbook"/>
          <w:color w:val="000000" w:themeColor="text1"/>
        </w:rPr>
      </w:pPr>
    </w:p>
    <w:p w:rsidR="00610156" w:rsidRPr="00573FA5" w:rsidRDefault="00CA3C6F" w:rsidP="00610156">
      <w:pPr>
        <w:pStyle w:val="BodyText"/>
        <w:ind w:firstLine="720"/>
        <w:contextualSpacing/>
        <w:rPr>
          <w:rFonts w:ascii="Century Schoolbook" w:hAnsi="Century Schoolbook"/>
          <w:color w:val="000000" w:themeColor="text1"/>
        </w:rPr>
      </w:pPr>
      <w:r>
        <w:rPr>
          <w:rFonts w:ascii="Century Schoolbook" w:hAnsi="Century Schoolbook"/>
          <w:color w:val="000000" w:themeColor="text1"/>
        </w:rPr>
        <w:t>S</w:t>
      </w:r>
      <w:r w:rsidRPr="00573FA5">
        <w:rPr>
          <w:rFonts w:ascii="Century Schoolbook" w:hAnsi="Century Schoolbook"/>
          <w:color w:val="000000" w:themeColor="text1"/>
        </w:rPr>
        <w:t xml:space="preserve">ome judges </w:t>
      </w:r>
      <w:r>
        <w:rPr>
          <w:rFonts w:ascii="Century Schoolbook" w:hAnsi="Century Schoolbook"/>
          <w:color w:val="000000" w:themeColor="text1"/>
        </w:rPr>
        <w:t xml:space="preserve">are </w:t>
      </w:r>
      <w:r w:rsidRPr="00573FA5">
        <w:rPr>
          <w:rFonts w:ascii="Century Schoolbook" w:hAnsi="Century Schoolbook"/>
          <w:color w:val="000000" w:themeColor="text1"/>
        </w:rPr>
        <w:t xml:space="preserve">critical of allowing the parties too much freedom to select cases because advocates </w:t>
      </w:r>
      <w:r w:rsidR="001F21DD">
        <w:rPr>
          <w:rFonts w:ascii="Century Schoolbook" w:hAnsi="Century Schoolbook"/>
          <w:color w:val="000000" w:themeColor="text1"/>
        </w:rPr>
        <w:t>may be</w:t>
      </w:r>
      <w:r>
        <w:rPr>
          <w:rFonts w:ascii="Century Schoolbook" w:hAnsi="Century Schoolbook"/>
          <w:color w:val="000000" w:themeColor="text1"/>
        </w:rPr>
        <w:t xml:space="preserve"> inclined </w:t>
      </w:r>
      <w:r w:rsidRPr="00573FA5">
        <w:rPr>
          <w:rFonts w:ascii="Century Schoolbook" w:hAnsi="Century Schoolbook"/>
          <w:color w:val="000000" w:themeColor="text1"/>
        </w:rPr>
        <w:t xml:space="preserve">to pick cases </w:t>
      </w:r>
      <w:r w:rsidR="001F21DD">
        <w:rPr>
          <w:rFonts w:ascii="Century Schoolbook" w:hAnsi="Century Schoolbook"/>
          <w:color w:val="000000" w:themeColor="text1"/>
        </w:rPr>
        <w:t>they are</w:t>
      </w:r>
      <w:r>
        <w:rPr>
          <w:rFonts w:ascii="Century Schoolbook" w:hAnsi="Century Schoolbook"/>
          <w:color w:val="000000" w:themeColor="text1"/>
        </w:rPr>
        <w:t xml:space="preserve"> </w:t>
      </w:r>
      <w:r w:rsidRPr="00573FA5">
        <w:rPr>
          <w:rFonts w:ascii="Century Schoolbook" w:hAnsi="Century Schoolbook"/>
          <w:color w:val="000000" w:themeColor="text1"/>
        </w:rPr>
        <w:t>most likely</w:t>
      </w:r>
      <w:r w:rsidR="001F21DD">
        <w:rPr>
          <w:rFonts w:ascii="Century Schoolbook" w:hAnsi="Century Schoolbook"/>
          <w:color w:val="000000" w:themeColor="text1"/>
        </w:rPr>
        <w:t xml:space="preserve"> to win</w:t>
      </w:r>
      <w:r w:rsidRPr="00573FA5">
        <w:rPr>
          <w:rFonts w:ascii="Century Schoolbook" w:hAnsi="Century Schoolbook"/>
          <w:color w:val="000000" w:themeColor="text1"/>
        </w:rPr>
        <w:t xml:space="preserve">, without regard to </w:t>
      </w:r>
      <w:r>
        <w:rPr>
          <w:rFonts w:ascii="Century Schoolbook" w:hAnsi="Century Schoolbook"/>
          <w:color w:val="000000" w:themeColor="text1"/>
        </w:rPr>
        <w:t>their cases’</w:t>
      </w:r>
      <w:r w:rsidRPr="00573FA5">
        <w:rPr>
          <w:rFonts w:ascii="Century Schoolbook" w:hAnsi="Century Schoolbook"/>
          <w:color w:val="000000" w:themeColor="text1"/>
        </w:rPr>
        <w:t xml:space="preserve"> representativeness.</w:t>
      </w:r>
      <w:r>
        <w:rPr>
          <w:rStyle w:val="FootnoteReference"/>
          <w:rFonts w:ascii="Century Schoolbook" w:hAnsi="Century Schoolbook"/>
          <w:color w:val="000000" w:themeColor="text1"/>
        </w:rPr>
        <w:footnoteReference w:id="33"/>
      </w:r>
      <w:r w:rsidRPr="00573FA5">
        <w:rPr>
          <w:rFonts w:ascii="Century Schoolbook" w:hAnsi="Century Schoolbook"/>
          <w:color w:val="000000" w:themeColor="text1"/>
        </w:rPr>
        <w:t xml:space="preserve"> To address this concern, the transferee judge </w:t>
      </w:r>
      <w:r w:rsidR="001F21DD">
        <w:rPr>
          <w:rFonts w:ascii="Century Schoolbook" w:hAnsi="Century Schoolbook"/>
          <w:color w:val="000000" w:themeColor="text1"/>
        </w:rPr>
        <w:t>may</w:t>
      </w:r>
      <w:r w:rsidRPr="00573FA5">
        <w:rPr>
          <w:rFonts w:ascii="Century Schoolbook" w:hAnsi="Century Schoolbook"/>
          <w:color w:val="000000" w:themeColor="text1"/>
        </w:rPr>
        <w:t xml:space="preserve"> consider selecting bellwether trials only if both sides consent</w:t>
      </w:r>
      <w:r w:rsidR="009E622F">
        <w:rPr>
          <w:rFonts w:ascii="Century Schoolbook" w:hAnsi="Century Schoolbook"/>
          <w:color w:val="000000" w:themeColor="text1"/>
        </w:rPr>
        <w:t xml:space="preserve"> to the final selection</w:t>
      </w:r>
      <w:r w:rsidRPr="00573FA5">
        <w:rPr>
          <w:rFonts w:ascii="Century Schoolbook" w:hAnsi="Century Schoolbook"/>
          <w:color w:val="000000" w:themeColor="text1"/>
        </w:rPr>
        <w:t xml:space="preserve">. Under this approach, outlier cases favoring one side would be unlikely to be selected. This option places the responsibility on the parties, who have better knowledge about the cases than the transferee judge, to select useful, representative bellwether trials. </w:t>
      </w:r>
      <w:r w:rsidR="001F21DD">
        <w:rPr>
          <w:rFonts w:ascii="Century Schoolbook" w:hAnsi="Century Schoolbook"/>
          <w:color w:val="000000" w:themeColor="text1"/>
        </w:rPr>
        <w:t>If an agreement cannot be reached</w:t>
      </w:r>
      <w:r w:rsidRPr="00573FA5">
        <w:rPr>
          <w:rFonts w:ascii="Century Schoolbook" w:hAnsi="Century Schoolbook"/>
          <w:color w:val="000000" w:themeColor="text1"/>
        </w:rPr>
        <w:t xml:space="preserve">, the transferee judge </w:t>
      </w:r>
      <w:r w:rsidR="001F21DD">
        <w:rPr>
          <w:rFonts w:ascii="Century Schoolbook" w:hAnsi="Century Schoolbook"/>
          <w:color w:val="000000" w:themeColor="text1"/>
        </w:rPr>
        <w:t>may</w:t>
      </w:r>
      <w:r w:rsidRPr="00573FA5">
        <w:rPr>
          <w:rFonts w:ascii="Century Schoolbook" w:hAnsi="Century Schoolbook"/>
          <w:color w:val="000000" w:themeColor="text1"/>
        </w:rPr>
        <w:t xml:space="preserve"> consider interviewing each side to identify the key issues presented and the critical evidence to be presented. The interview process, coupled with the judge’s final decision-making authority (over which cases she selects for trial and the order in which they will be tried), encourages parties to put forward representative cases. And because the interview would be focused on a case’s representativeness, it should uncover valuable information to enhance the bellwether process.</w:t>
      </w:r>
    </w:p>
    <w:p w:rsidR="001F21DD" w:rsidRDefault="001F21DD" w:rsidP="00610156">
      <w:pPr>
        <w:pStyle w:val="BodyText"/>
        <w:ind w:firstLine="720"/>
        <w:contextualSpacing/>
        <w:rPr>
          <w:rFonts w:ascii="Century Schoolbook" w:hAnsi="Century Schoolbook"/>
          <w:color w:val="000000" w:themeColor="text1"/>
        </w:rPr>
      </w:pPr>
    </w:p>
    <w:p w:rsidR="00610156" w:rsidRPr="00573FA5" w:rsidRDefault="001F21DD" w:rsidP="00610156">
      <w:pPr>
        <w:pStyle w:val="BodyText"/>
        <w:ind w:firstLine="720"/>
        <w:contextualSpacing/>
        <w:rPr>
          <w:rFonts w:ascii="Century Schoolbook" w:hAnsi="Century Schoolbook"/>
          <w:color w:val="000000" w:themeColor="text1"/>
        </w:rPr>
      </w:pPr>
      <w:r>
        <w:rPr>
          <w:rFonts w:ascii="Century Schoolbook" w:hAnsi="Century Schoolbook"/>
          <w:color w:val="000000" w:themeColor="text1"/>
        </w:rPr>
        <w:t>B</w:t>
      </w:r>
      <w:r w:rsidR="00CA3C6F" w:rsidRPr="00573FA5">
        <w:rPr>
          <w:rFonts w:ascii="Century Schoolbook" w:hAnsi="Century Schoolbook"/>
          <w:color w:val="000000" w:themeColor="text1"/>
        </w:rPr>
        <w:t>ellwether trials selected randomly or by the litigants may not provide a truly representative cross-section of all cases. But a hybrid approach could combine random selection, litigant input, and the judge’s selection to arrive at a representative sample of cases for bellwether trial. In</w:t>
      </w:r>
      <w:r w:rsidR="00CA3C6F" w:rsidRPr="00573FA5">
        <w:rPr>
          <w:rFonts w:ascii="Century Schoolbook" w:hAnsi="Century Schoolbook"/>
          <w:i/>
          <w:color w:val="000000" w:themeColor="text1"/>
        </w:rPr>
        <w:t xml:space="preserve"> In re Testosterone Replacement Therapy Products Liability Litigation</w:t>
      </w:r>
      <w:r w:rsidR="00CA3C6F" w:rsidRPr="00573FA5">
        <w:rPr>
          <w:rFonts w:ascii="Century Schoolbook" w:hAnsi="Century Schoolbook"/>
          <w:color w:val="000000" w:themeColor="text1"/>
        </w:rPr>
        <w:t xml:space="preserve">, Judge Kenelly began by randomly choosing 100 cases. Each side then picked 16 cases. After some preliminary discovery, the court selected the eight cases that would proceed to trial. (Alternatively, eight cases could be selected by the parties’ mutual consent.) This hybrid approach allows parties to participate in the selection process, </w:t>
      </w:r>
      <w:r w:rsidR="00CA3C6F">
        <w:rPr>
          <w:rFonts w:ascii="Century Schoolbook" w:hAnsi="Century Schoolbook"/>
          <w:color w:val="000000" w:themeColor="text1"/>
        </w:rPr>
        <w:t xml:space="preserve">provides some assurance </w:t>
      </w:r>
      <w:r w:rsidR="00CA3C6F" w:rsidRPr="00573FA5">
        <w:rPr>
          <w:rFonts w:ascii="Century Schoolbook" w:hAnsi="Century Schoolbook"/>
          <w:color w:val="000000" w:themeColor="text1"/>
        </w:rPr>
        <w:t xml:space="preserve">that claims are representative, and avoids </w:t>
      </w:r>
      <w:r>
        <w:rPr>
          <w:rFonts w:ascii="Century Schoolbook" w:hAnsi="Century Schoolbook"/>
          <w:color w:val="000000" w:themeColor="text1"/>
        </w:rPr>
        <w:t>concerns with</w:t>
      </w:r>
      <w:r w:rsidR="00CA3C6F" w:rsidRPr="00573FA5">
        <w:rPr>
          <w:rFonts w:ascii="Century Schoolbook" w:hAnsi="Century Schoolbook"/>
          <w:color w:val="000000" w:themeColor="text1"/>
        </w:rPr>
        <w:t xml:space="preserve"> </w:t>
      </w:r>
      <w:r w:rsidR="00CA3C6F">
        <w:rPr>
          <w:rFonts w:ascii="Century Schoolbook" w:hAnsi="Century Schoolbook"/>
          <w:color w:val="000000" w:themeColor="text1"/>
        </w:rPr>
        <w:t>other approaches</w:t>
      </w:r>
      <w:r w:rsidR="00CA3C6F" w:rsidRPr="00573FA5">
        <w:rPr>
          <w:rFonts w:ascii="Century Schoolbook" w:hAnsi="Century Schoolbook"/>
          <w:color w:val="000000" w:themeColor="text1"/>
        </w:rPr>
        <w:t xml:space="preserve"> while yielding </w:t>
      </w:r>
      <w:r w:rsidR="00CA3C6F">
        <w:rPr>
          <w:rFonts w:ascii="Century Schoolbook" w:hAnsi="Century Schoolbook"/>
          <w:color w:val="000000" w:themeColor="text1"/>
        </w:rPr>
        <w:t xml:space="preserve">what could be </w:t>
      </w:r>
      <w:r w:rsidR="00CA3C6F" w:rsidRPr="00573FA5">
        <w:rPr>
          <w:rFonts w:ascii="Century Schoolbook" w:hAnsi="Century Schoolbook"/>
          <w:color w:val="000000" w:themeColor="text1"/>
        </w:rPr>
        <w:t xml:space="preserve">a representative stable of cases. </w:t>
      </w:r>
    </w:p>
    <w:p w:rsidR="00610156" w:rsidRPr="00573FA5" w:rsidRDefault="00610156" w:rsidP="00610156">
      <w:pPr>
        <w:pStyle w:val="BodyText"/>
        <w:ind w:right="115" w:firstLine="720"/>
        <w:contextualSpacing/>
        <w:rPr>
          <w:rFonts w:ascii="Century Schoolbook" w:hAnsi="Century Schoolbook"/>
          <w:color w:val="000000" w:themeColor="text1"/>
        </w:rPr>
      </w:pPr>
    </w:p>
    <w:p w:rsidR="00610156" w:rsidRDefault="00CA3C6F" w:rsidP="00610156">
      <w:pPr>
        <w:pStyle w:val="BodyText"/>
        <w:ind w:firstLine="720"/>
        <w:contextualSpacing/>
        <w:rPr>
          <w:rFonts w:ascii="Century Schoolbook" w:hAnsi="Century Schoolbook"/>
          <w:color w:val="000000" w:themeColor="text1"/>
        </w:rPr>
      </w:pPr>
      <w:r w:rsidRPr="00573FA5">
        <w:rPr>
          <w:rFonts w:ascii="Century Schoolbook" w:hAnsi="Century Schoolbook"/>
          <w:color w:val="000000" w:themeColor="text1"/>
        </w:rPr>
        <w:t xml:space="preserve">A judge should carefully view any proposal for consolidated </w:t>
      </w:r>
      <w:r w:rsidR="001F21DD">
        <w:rPr>
          <w:rFonts w:ascii="Century Schoolbook" w:hAnsi="Century Schoolbook"/>
          <w:color w:val="000000" w:themeColor="text1"/>
        </w:rPr>
        <w:t xml:space="preserve">multi-plaintiff </w:t>
      </w:r>
      <w:r w:rsidRPr="00573FA5">
        <w:rPr>
          <w:rFonts w:ascii="Century Schoolbook" w:hAnsi="Century Schoolbook"/>
          <w:color w:val="000000" w:themeColor="text1"/>
        </w:rPr>
        <w:t xml:space="preserve">bellwether trials. At the bellwether stage, the goal should be to achieve valid tests, not to </w:t>
      </w:r>
      <w:r>
        <w:rPr>
          <w:rFonts w:ascii="Century Schoolbook" w:hAnsi="Century Schoolbook"/>
          <w:color w:val="000000" w:themeColor="text1"/>
        </w:rPr>
        <w:t xml:space="preserve">resolve </w:t>
      </w:r>
      <w:r w:rsidRPr="00573FA5">
        <w:rPr>
          <w:rFonts w:ascii="Century Schoolbook" w:hAnsi="Century Schoolbook"/>
          <w:color w:val="000000" w:themeColor="text1"/>
        </w:rPr>
        <w:t xml:space="preserve">large </w:t>
      </w:r>
      <w:r>
        <w:rPr>
          <w:rFonts w:ascii="Century Schoolbook" w:hAnsi="Century Schoolbook"/>
          <w:color w:val="000000" w:themeColor="text1"/>
        </w:rPr>
        <w:t xml:space="preserve">numbers </w:t>
      </w:r>
      <w:r w:rsidRPr="00573FA5">
        <w:rPr>
          <w:rFonts w:ascii="Century Schoolbook" w:hAnsi="Century Schoolbook"/>
          <w:color w:val="000000" w:themeColor="text1"/>
        </w:rPr>
        <w:t>of claims</w:t>
      </w:r>
      <w:r>
        <w:rPr>
          <w:rFonts w:ascii="Century Schoolbook" w:hAnsi="Century Schoolbook"/>
          <w:color w:val="000000" w:themeColor="text1"/>
        </w:rPr>
        <w:t>.</w:t>
      </w:r>
      <w:r w:rsidRPr="00573FA5">
        <w:rPr>
          <w:rFonts w:ascii="Century Schoolbook" w:hAnsi="Century Schoolbook"/>
          <w:color w:val="000000" w:themeColor="text1"/>
        </w:rPr>
        <w:t xml:space="preserve"> </w:t>
      </w:r>
      <w:r>
        <w:rPr>
          <w:rFonts w:ascii="Century Schoolbook" w:hAnsi="Century Schoolbook"/>
          <w:color w:val="000000" w:themeColor="text1"/>
        </w:rPr>
        <w:t>C</w:t>
      </w:r>
      <w:r w:rsidRPr="00573FA5">
        <w:rPr>
          <w:rFonts w:ascii="Century Schoolbook" w:hAnsi="Century Schoolbook"/>
          <w:color w:val="000000" w:themeColor="text1"/>
        </w:rPr>
        <w:t xml:space="preserve">onsolidation can tilt the playing field, undermining the goal of producing representative verdicts. As one transferee judge recognized in rejecting a proposal to hold a three-plaintiff bellwether trial, “[u]ntil enough trials have occurred so that the contours of various types of claims within the . . . litigation are known, courts should proceed with extreme caution in </w:t>
      </w:r>
      <w:r w:rsidRPr="00573FA5">
        <w:rPr>
          <w:rFonts w:ascii="Century Schoolbook" w:hAnsi="Century Schoolbook"/>
          <w:color w:val="000000" w:themeColor="text1"/>
        </w:rPr>
        <w:lastRenderedPageBreak/>
        <w:t>consolidating claims.”</w:t>
      </w:r>
      <w:r>
        <w:rPr>
          <w:rStyle w:val="FootnoteReference"/>
          <w:rFonts w:ascii="Century Schoolbook" w:hAnsi="Century Schoolbook"/>
          <w:color w:val="000000" w:themeColor="text1"/>
        </w:rPr>
        <w:footnoteReference w:id="34"/>
      </w:r>
      <w:r w:rsidRPr="00573FA5">
        <w:rPr>
          <w:rFonts w:ascii="Century Schoolbook" w:hAnsi="Century Schoolbook"/>
          <w:color w:val="000000" w:themeColor="text1"/>
        </w:rPr>
        <w:t xml:space="preserve"> Consolidated bellwether trials may confuse juries, who are charged with wading through </w:t>
      </w:r>
      <w:r>
        <w:rPr>
          <w:rFonts w:ascii="Century Schoolbook" w:hAnsi="Century Schoolbook"/>
          <w:color w:val="000000" w:themeColor="text1"/>
        </w:rPr>
        <w:t xml:space="preserve">large quantities </w:t>
      </w:r>
      <w:r w:rsidRPr="00573FA5">
        <w:rPr>
          <w:rFonts w:ascii="Century Schoolbook" w:hAnsi="Century Schoolbook"/>
          <w:color w:val="000000" w:themeColor="text1"/>
        </w:rPr>
        <w:t>of complicated evidence to determine claims that may present different issues. Not only do some defense attorneys argue that consolidated bellwethers are unfair for their clients,</w:t>
      </w:r>
      <w:r>
        <w:rPr>
          <w:rStyle w:val="FootnoteReference"/>
          <w:rFonts w:ascii="Century Schoolbook" w:hAnsi="Century Schoolbook"/>
          <w:color w:val="000000" w:themeColor="text1"/>
        </w:rPr>
        <w:footnoteReference w:id="35"/>
      </w:r>
      <w:r w:rsidRPr="00573FA5">
        <w:rPr>
          <w:rFonts w:ascii="Century Schoolbook" w:hAnsi="Century Schoolbook"/>
          <w:color w:val="000000" w:themeColor="text1"/>
        </w:rPr>
        <w:t xml:space="preserve"> but these trials </w:t>
      </w:r>
      <w:r w:rsidR="001F21DD">
        <w:rPr>
          <w:rFonts w:ascii="Century Schoolbook" w:hAnsi="Century Schoolbook"/>
          <w:color w:val="000000" w:themeColor="text1"/>
        </w:rPr>
        <w:t>may</w:t>
      </w:r>
      <w:r>
        <w:rPr>
          <w:rFonts w:ascii="Century Schoolbook" w:hAnsi="Century Schoolbook"/>
          <w:color w:val="000000" w:themeColor="text1"/>
        </w:rPr>
        <w:t xml:space="preserve"> not further settlement </w:t>
      </w:r>
      <w:r w:rsidRPr="00573FA5">
        <w:rPr>
          <w:rFonts w:ascii="Century Schoolbook" w:hAnsi="Century Schoolbook"/>
          <w:color w:val="000000" w:themeColor="text1"/>
        </w:rPr>
        <w:t xml:space="preserve">when attorneys </w:t>
      </w:r>
      <w:r>
        <w:rPr>
          <w:rFonts w:ascii="Century Schoolbook" w:hAnsi="Century Schoolbook"/>
          <w:color w:val="000000" w:themeColor="text1"/>
        </w:rPr>
        <w:t xml:space="preserve">for one side </w:t>
      </w:r>
      <w:r w:rsidRPr="00573FA5">
        <w:rPr>
          <w:rFonts w:ascii="Century Schoolbook" w:hAnsi="Century Schoolbook"/>
          <w:color w:val="000000" w:themeColor="text1"/>
        </w:rPr>
        <w:t xml:space="preserve">question verdict accuracy. For example, this can occur when a jury awards each plaintiff a similar verdict despite grave differences between claims. On the other hand, </w:t>
      </w:r>
      <w:r w:rsidR="001F21DD">
        <w:rPr>
          <w:rFonts w:ascii="Century Schoolbook" w:hAnsi="Century Schoolbook"/>
          <w:color w:val="000000" w:themeColor="text1"/>
        </w:rPr>
        <w:t xml:space="preserve">a court should consider whether </w:t>
      </w:r>
      <w:r w:rsidRPr="00573FA5">
        <w:rPr>
          <w:rFonts w:ascii="Century Schoolbook" w:hAnsi="Century Schoolbook"/>
          <w:color w:val="000000" w:themeColor="text1"/>
        </w:rPr>
        <w:t>consolidated trials may provide useful information in certain cases</w:t>
      </w:r>
      <w:r w:rsidR="001F21DD">
        <w:rPr>
          <w:rFonts w:ascii="Century Schoolbook" w:hAnsi="Century Schoolbook"/>
          <w:color w:val="000000" w:themeColor="text1"/>
        </w:rPr>
        <w:t>, consistent with due process concerns,</w:t>
      </w:r>
      <w:r w:rsidRPr="00573FA5">
        <w:rPr>
          <w:rFonts w:ascii="Century Schoolbook" w:hAnsi="Century Schoolbook"/>
          <w:color w:val="000000" w:themeColor="text1"/>
        </w:rPr>
        <w:t xml:space="preserve"> when the differences among the plaintiffs do not lead to ambiguous results.</w:t>
      </w:r>
      <w:r w:rsidR="0060325E">
        <w:rPr>
          <w:rStyle w:val="FootnoteReference"/>
          <w:rFonts w:ascii="Century Schoolbook" w:hAnsi="Century Schoolbook"/>
          <w:color w:val="000000" w:themeColor="text1"/>
        </w:rPr>
        <w:footnoteReference w:id="36"/>
      </w:r>
      <w:r w:rsidRPr="00573FA5">
        <w:rPr>
          <w:rFonts w:ascii="Century Schoolbook" w:hAnsi="Century Schoolbook"/>
          <w:color w:val="000000" w:themeColor="text1"/>
        </w:rPr>
        <w:t xml:space="preserve"> </w:t>
      </w:r>
    </w:p>
    <w:p w:rsidR="009E622F" w:rsidRPr="00573FA5" w:rsidRDefault="009E622F" w:rsidP="00610156">
      <w:pPr>
        <w:pStyle w:val="BodyText"/>
        <w:ind w:firstLine="720"/>
        <w:contextualSpacing/>
        <w:rPr>
          <w:rFonts w:ascii="Century Schoolbook" w:hAnsi="Century Schoolbook"/>
          <w:color w:val="000000" w:themeColor="text1"/>
        </w:rPr>
      </w:pPr>
    </w:p>
    <w:p w:rsidR="00610156" w:rsidRPr="00573FA5" w:rsidRDefault="00CA3C6F" w:rsidP="00610156">
      <w:pPr>
        <w:pStyle w:val="BodyText"/>
        <w:ind w:firstLine="720"/>
        <w:contextualSpacing/>
        <w:rPr>
          <w:rFonts w:ascii="Century Schoolbook" w:hAnsi="Century Schoolbook"/>
          <w:color w:val="000000" w:themeColor="text1"/>
        </w:rPr>
      </w:pPr>
      <w:r w:rsidRPr="00573FA5">
        <w:rPr>
          <w:rFonts w:ascii="Century Schoolbook" w:hAnsi="Century Schoolbook"/>
          <w:color w:val="000000" w:themeColor="text1"/>
        </w:rPr>
        <w:t>As discussed previously, to enhance the selection process</w:t>
      </w:r>
      <w:r>
        <w:rPr>
          <w:rFonts w:ascii="Century Schoolbook" w:hAnsi="Century Schoolbook"/>
          <w:color w:val="000000" w:themeColor="text1"/>
        </w:rPr>
        <w:t>,</w:t>
      </w:r>
      <w:r w:rsidRPr="00573FA5">
        <w:rPr>
          <w:rFonts w:ascii="Century Schoolbook" w:hAnsi="Century Schoolbook"/>
          <w:color w:val="000000" w:themeColor="text1"/>
        </w:rPr>
        <w:t xml:space="preserve"> the transferee judge should require plaintiffs to: (1) provide </w:t>
      </w:r>
      <w:r>
        <w:rPr>
          <w:rFonts w:ascii="Century Schoolbook" w:hAnsi="Century Schoolbook"/>
          <w:color w:val="000000" w:themeColor="text1"/>
        </w:rPr>
        <w:t xml:space="preserve">court-approved </w:t>
      </w:r>
      <w:r w:rsidRPr="00573FA5">
        <w:rPr>
          <w:rFonts w:ascii="Century Schoolbook" w:hAnsi="Century Schoolbook"/>
          <w:color w:val="000000" w:themeColor="text1"/>
        </w:rPr>
        <w:t>fact sheets; and (2) submit medical and employment record authorizations to collect basic information about plaintiffs’ claims.</w:t>
      </w:r>
      <w:r>
        <w:rPr>
          <w:rStyle w:val="FootnoteReference"/>
          <w:rFonts w:ascii="Century Schoolbook" w:hAnsi="Century Schoolbook"/>
          <w:color w:val="000000" w:themeColor="text1"/>
        </w:rPr>
        <w:footnoteReference w:id="37"/>
      </w:r>
      <w:r w:rsidRPr="00573FA5">
        <w:rPr>
          <w:rFonts w:ascii="Century Schoolbook" w:hAnsi="Century Schoolbook"/>
          <w:color w:val="000000" w:themeColor="text1"/>
        </w:rPr>
        <w:t xml:space="preserve"> Defendants should </w:t>
      </w:r>
      <w:r>
        <w:rPr>
          <w:rFonts w:ascii="Century Schoolbook" w:hAnsi="Century Schoolbook"/>
          <w:color w:val="000000" w:themeColor="text1"/>
        </w:rPr>
        <w:t>likewise</w:t>
      </w:r>
      <w:r w:rsidRPr="00573FA5">
        <w:rPr>
          <w:rFonts w:ascii="Century Schoolbook" w:hAnsi="Century Schoolbook"/>
          <w:color w:val="000000" w:themeColor="text1"/>
        </w:rPr>
        <w:t xml:space="preserve"> provide basic information regarding individual plaintiffs’ cases (e.g. detailer information or other relevant basic factual information about the individual plaintiff or her claims). The </w:t>
      </w:r>
      <w:r w:rsidRPr="00573FA5">
        <w:rPr>
          <w:rFonts w:ascii="Century Schoolbook" w:hAnsi="Century Schoolbook"/>
          <w:color w:val="000000" w:themeColor="text1"/>
        </w:rPr>
        <w:lastRenderedPageBreak/>
        <w:t xml:space="preserve">availability of such information should facilitate selection of more representative cases for trial. Indeed, sampling information from these sources may aid the court and the parties in defining what constitutes a representative case and in drawing distinct categories of cases within the pool pending in the proceeding. Irrespective of the </w:t>
      </w:r>
      <w:r>
        <w:rPr>
          <w:rFonts w:ascii="Century Schoolbook" w:hAnsi="Century Schoolbook"/>
          <w:color w:val="000000" w:themeColor="text1"/>
        </w:rPr>
        <w:t xml:space="preserve">chosen </w:t>
      </w:r>
      <w:r w:rsidRPr="00573FA5">
        <w:rPr>
          <w:rFonts w:ascii="Century Schoolbook" w:hAnsi="Century Schoolbook"/>
          <w:color w:val="000000" w:themeColor="text1"/>
        </w:rPr>
        <w:t xml:space="preserve">bellwether selection method, the parties should </w:t>
      </w:r>
      <w:r>
        <w:rPr>
          <w:rFonts w:ascii="Century Schoolbook" w:hAnsi="Century Schoolbook"/>
          <w:color w:val="000000" w:themeColor="text1"/>
        </w:rPr>
        <w:t>have</w:t>
      </w:r>
      <w:r w:rsidRPr="00573FA5">
        <w:rPr>
          <w:rFonts w:ascii="Century Schoolbook" w:hAnsi="Century Schoolbook"/>
          <w:color w:val="000000" w:themeColor="text1"/>
        </w:rPr>
        <w:t xml:space="preserve"> a reasonable amount of </w:t>
      </w:r>
      <w:r>
        <w:rPr>
          <w:rFonts w:ascii="Century Schoolbook" w:hAnsi="Century Schoolbook"/>
          <w:color w:val="000000" w:themeColor="text1"/>
        </w:rPr>
        <w:t xml:space="preserve">and time for </w:t>
      </w:r>
      <w:r w:rsidRPr="00573FA5">
        <w:rPr>
          <w:rFonts w:ascii="Century Schoolbook" w:hAnsi="Century Schoolbook"/>
          <w:color w:val="000000" w:themeColor="text1"/>
        </w:rPr>
        <w:t xml:space="preserve">discovery </w:t>
      </w:r>
      <w:r>
        <w:rPr>
          <w:rFonts w:ascii="Century Schoolbook" w:hAnsi="Century Schoolbook"/>
          <w:color w:val="000000" w:themeColor="text1"/>
        </w:rPr>
        <w:t xml:space="preserve">in the selected </w:t>
      </w:r>
      <w:r w:rsidRPr="00573FA5">
        <w:rPr>
          <w:rFonts w:ascii="Century Schoolbook" w:hAnsi="Century Schoolbook"/>
          <w:color w:val="000000" w:themeColor="text1"/>
        </w:rPr>
        <w:t>case</w:t>
      </w:r>
      <w:r>
        <w:rPr>
          <w:rFonts w:ascii="Century Schoolbook" w:hAnsi="Century Schoolbook"/>
          <w:color w:val="000000" w:themeColor="text1"/>
        </w:rPr>
        <w:t>s</w:t>
      </w:r>
      <w:r w:rsidRPr="00573FA5">
        <w:rPr>
          <w:rFonts w:ascii="Century Schoolbook" w:hAnsi="Century Schoolbook"/>
          <w:color w:val="000000" w:themeColor="text1"/>
        </w:rPr>
        <w:t xml:space="preserve"> to ensure that no party is subjected to unfair surprise or otherwise disadvantaged.</w:t>
      </w:r>
    </w:p>
    <w:p w:rsidR="00610156" w:rsidRPr="00573FA5" w:rsidRDefault="00610156" w:rsidP="00610156">
      <w:pPr>
        <w:pStyle w:val="BodyText"/>
        <w:ind w:firstLine="720"/>
        <w:contextualSpacing/>
        <w:rPr>
          <w:rFonts w:ascii="Century Schoolbook" w:hAnsi="Century Schoolbook"/>
          <w:color w:val="000000" w:themeColor="text1"/>
        </w:rPr>
      </w:pPr>
    </w:p>
    <w:p w:rsidR="00610156" w:rsidRPr="00573FA5" w:rsidRDefault="00CA3C6F" w:rsidP="00610156">
      <w:pPr>
        <w:pStyle w:val="BodyText"/>
        <w:ind w:left="720" w:right="720"/>
        <w:contextualSpacing/>
        <w:jc w:val="both"/>
        <w:rPr>
          <w:rFonts w:ascii="Century Schoolbook" w:hAnsi="Century Schoolbook"/>
          <w:color w:val="000000" w:themeColor="text1"/>
        </w:rPr>
      </w:pPr>
      <w:r w:rsidRPr="00573FA5">
        <w:rPr>
          <w:rFonts w:ascii="Century Schoolbook" w:hAnsi="Century Schoolbook"/>
          <w:smallCaps/>
          <w:color w:val="000000" w:themeColor="text1"/>
        </w:rPr>
        <w:t>Best Practice 1E(</w:t>
      </w:r>
      <w:r w:rsidRPr="00573FA5">
        <w:rPr>
          <w:rFonts w:ascii="Century Schoolbook" w:hAnsi="Century Schoolbook"/>
          <w:color w:val="000000" w:themeColor="text1"/>
        </w:rPr>
        <w:t>iv): The transferee judge should adopt rules that will minimize the risk that parties will attempt to “game” the bellwether trial-selection process to result in test trials of cases that are not representative of the entire case pool.</w:t>
      </w:r>
    </w:p>
    <w:p w:rsidR="00610156" w:rsidRPr="00573FA5" w:rsidRDefault="00610156" w:rsidP="00610156">
      <w:pPr>
        <w:pStyle w:val="BodyText"/>
        <w:ind w:right="115" w:firstLine="720"/>
        <w:contextualSpacing/>
        <w:rPr>
          <w:rFonts w:ascii="Century Schoolbook" w:hAnsi="Century Schoolbook"/>
          <w:color w:val="000000" w:themeColor="text1"/>
        </w:rPr>
      </w:pPr>
    </w:p>
    <w:p w:rsidR="00610156" w:rsidRPr="00573FA5" w:rsidRDefault="00CA3C6F" w:rsidP="00610156">
      <w:pPr>
        <w:pStyle w:val="BodyText"/>
        <w:ind w:firstLine="720"/>
        <w:contextualSpacing/>
        <w:rPr>
          <w:rFonts w:ascii="Century Schoolbook" w:hAnsi="Century Schoolbook"/>
          <w:color w:val="000000" w:themeColor="text1"/>
        </w:rPr>
      </w:pPr>
      <w:r w:rsidRPr="00573FA5">
        <w:rPr>
          <w:rFonts w:ascii="Century Schoolbook" w:hAnsi="Century Schoolbook"/>
          <w:color w:val="000000" w:themeColor="text1"/>
        </w:rPr>
        <w:t xml:space="preserve">Although there </w:t>
      </w:r>
      <w:r w:rsidR="001F21DD">
        <w:rPr>
          <w:rFonts w:ascii="Century Schoolbook" w:hAnsi="Century Schoolbook"/>
          <w:color w:val="000000" w:themeColor="text1"/>
        </w:rPr>
        <w:t>may be</w:t>
      </w:r>
      <w:r w:rsidRPr="00573FA5">
        <w:rPr>
          <w:rFonts w:ascii="Century Schoolbook" w:hAnsi="Century Schoolbook"/>
          <w:color w:val="000000" w:themeColor="text1"/>
        </w:rPr>
        <w:t xml:space="preserve"> good-faith reasons for settling or for voluntarily dismissing a test case, there </w:t>
      </w:r>
      <w:r>
        <w:rPr>
          <w:rFonts w:ascii="Century Schoolbook" w:hAnsi="Century Schoolbook"/>
          <w:color w:val="000000" w:themeColor="text1"/>
        </w:rPr>
        <w:t>are also</w:t>
      </w:r>
      <w:r w:rsidRPr="00573FA5">
        <w:rPr>
          <w:rFonts w:ascii="Century Schoolbook" w:hAnsi="Century Schoolbook"/>
          <w:color w:val="000000" w:themeColor="text1"/>
        </w:rPr>
        <w:t xml:space="preserve"> instances in which the parties do so to manipulate the takeaways from the bellwether process.</w:t>
      </w:r>
      <w:r>
        <w:rPr>
          <w:rStyle w:val="FootnoteReference"/>
          <w:rFonts w:ascii="Century Schoolbook" w:hAnsi="Century Schoolbook"/>
          <w:color w:val="000000" w:themeColor="text1"/>
        </w:rPr>
        <w:footnoteReference w:id="38"/>
      </w:r>
      <w:r w:rsidRPr="00573FA5">
        <w:rPr>
          <w:rFonts w:ascii="Century Schoolbook" w:hAnsi="Century Schoolbook"/>
          <w:color w:val="000000" w:themeColor="text1"/>
        </w:rPr>
        <w:t xml:space="preserve"> For example, defendants could offer to settle what they view as a strong bellwether case for the plaintiffs. </w:t>
      </w:r>
      <w:r>
        <w:rPr>
          <w:rFonts w:ascii="Century Schoolbook" w:hAnsi="Century Schoolbook"/>
          <w:color w:val="000000" w:themeColor="text1"/>
        </w:rPr>
        <w:t>Conversely</w:t>
      </w:r>
      <w:r w:rsidRPr="00573FA5">
        <w:rPr>
          <w:rFonts w:ascii="Century Schoolbook" w:hAnsi="Century Schoolbook"/>
          <w:color w:val="000000" w:themeColor="text1"/>
        </w:rPr>
        <w:t xml:space="preserve">, plaintiffs could dismiss what they view as weak bellwether cases. If the transferee judge has elected a random selection of cases, there is little that can be done about such tactics, </w:t>
      </w:r>
      <w:r w:rsidR="001F21DD">
        <w:rPr>
          <w:rFonts w:ascii="Century Schoolbook" w:hAnsi="Century Schoolbook"/>
          <w:color w:val="000000" w:themeColor="text1"/>
        </w:rPr>
        <w:t>beyond</w:t>
      </w:r>
      <w:r>
        <w:rPr>
          <w:rFonts w:ascii="Century Schoolbook" w:hAnsi="Century Schoolbook"/>
          <w:color w:val="000000" w:themeColor="text1"/>
        </w:rPr>
        <w:t xml:space="preserve"> mandating dismissal with prejudice</w:t>
      </w:r>
      <w:r w:rsidR="001F21DD">
        <w:rPr>
          <w:rFonts w:ascii="Century Schoolbook" w:hAnsi="Century Schoolbook"/>
          <w:color w:val="000000" w:themeColor="text1"/>
        </w:rPr>
        <w:t>, unless the judge adopts a different procedure to select replacement cases</w:t>
      </w:r>
      <w:r w:rsidRPr="00573FA5">
        <w:rPr>
          <w:rFonts w:ascii="Century Schoolbook" w:hAnsi="Century Schoolbook"/>
          <w:color w:val="000000" w:themeColor="text1"/>
        </w:rPr>
        <w:t>.</w:t>
      </w:r>
      <w:r>
        <w:rPr>
          <w:rStyle w:val="FootnoteReference"/>
          <w:rFonts w:ascii="Century Schoolbook" w:hAnsi="Century Schoolbook"/>
          <w:color w:val="000000" w:themeColor="text1"/>
        </w:rPr>
        <w:footnoteReference w:id="39"/>
      </w:r>
      <w:r w:rsidRPr="00573FA5">
        <w:rPr>
          <w:rFonts w:ascii="Century Schoolbook" w:hAnsi="Century Schoolbook"/>
          <w:color w:val="000000" w:themeColor="text1"/>
        </w:rPr>
        <w:t xml:space="preserve"> Such strategic behavior can be mitigated by, for example, allowing plaintiffs to choose the replacement for any bellwether case that defendants choose to settle rather than take to trial, or allowing defendants to select the replacement for any bellwether case that plaintiffs choose to dismiss.</w:t>
      </w:r>
    </w:p>
    <w:p w:rsidR="00610156" w:rsidRPr="00573FA5" w:rsidRDefault="00610156" w:rsidP="00610156">
      <w:pPr>
        <w:pStyle w:val="BodyText"/>
        <w:ind w:right="115" w:firstLine="720"/>
        <w:contextualSpacing/>
        <w:rPr>
          <w:rFonts w:ascii="Century Schoolbook" w:hAnsi="Century Schoolbook"/>
          <w:color w:val="000000" w:themeColor="text1"/>
        </w:rPr>
      </w:pPr>
    </w:p>
    <w:p w:rsidR="00610156" w:rsidRDefault="00CA3C6F" w:rsidP="00610156">
      <w:pPr>
        <w:pStyle w:val="BodyText"/>
        <w:ind w:firstLine="720"/>
        <w:contextualSpacing/>
        <w:rPr>
          <w:rFonts w:ascii="Century Schoolbook" w:hAnsi="Century Schoolbook"/>
          <w:color w:val="000000" w:themeColor="text1"/>
        </w:rPr>
      </w:pPr>
      <w:r w:rsidRPr="00573FA5">
        <w:rPr>
          <w:rFonts w:ascii="Century Schoolbook" w:hAnsi="Century Schoolbook"/>
          <w:color w:val="000000" w:themeColor="text1"/>
        </w:rPr>
        <w:t xml:space="preserve">A court can more effectively adopt rules and procedures to </w:t>
      </w:r>
      <w:r>
        <w:rPr>
          <w:rFonts w:ascii="Century Schoolbook" w:hAnsi="Century Schoolbook"/>
          <w:color w:val="000000" w:themeColor="text1"/>
        </w:rPr>
        <w:t xml:space="preserve">address </w:t>
      </w:r>
      <w:r w:rsidRPr="00573FA5">
        <w:rPr>
          <w:rFonts w:ascii="Century Schoolbook" w:hAnsi="Century Schoolbook"/>
          <w:color w:val="000000" w:themeColor="text1"/>
        </w:rPr>
        <w:t>gam</w:t>
      </w:r>
      <w:r>
        <w:rPr>
          <w:rFonts w:ascii="Century Schoolbook" w:hAnsi="Century Schoolbook"/>
          <w:color w:val="000000" w:themeColor="text1"/>
        </w:rPr>
        <w:t>ing</w:t>
      </w:r>
      <w:r w:rsidRPr="00573FA5">
        <w:rPr>
          <w:rFonts w:ascii="Century Schoolbook" w:hAnsi="Century Schoolbook"/>
          <w:color w:val="000000" w:themeColor="text1"/>
        </w:rPr>
        <w:t xml:space="preserve"> the system in an MDL proceeding in which the parties participate in the selection of bellwether cases. For example, if the transferee judge allows each side to select a bellwether case from among four nominees by the other side (i.e., plaintiffs would pick the bellwether case from among four nominees by defendants, and vice versa), and one party chooses to dismiss or settle the case selected by the other party, the acting party could either lose their right to pick their own case, or the other party could be invited to choose the replacement case from among the entire case pool.</w:t>
      </w:r>
    </w:p>
    <w:p w:rsidR="00A305FF" w:rsidRPr="00573FA5" w:rsidRDefault="00A305FF" w:rsidP="00610156">
      <w:pPr>
        <w:pStyle w:val="BodyText"/>
        <w:ind w:firstLine="720"/>
        <w:contextualSpacing/>
        <w:rPr>
          <w:rFonts w:ascii="Century Schoolbook" w:hAnsi="Century Schoolbook"/>
          <w:color w:val="000000" w:themeColor="text1"/>
        </w:rPr>
      </w:pPr>
    </w:p>
    <w:p w:rsidR="00610156" w:rsidRPr="00573FA5" w:rsidRDefault="00CA3C6F" w:rsidP="00610156">
      <w:pPr>
        <w:pStyle w:val="BodyText"/>
        <w:ind w:firstLine="720"/>
        <w:contextualSpacing/>
        <w:rPr>
          <w:rFonts w:ascii="Century Schoolbook" w:hAnsi="Century Schoolbook"/>
          <w:color w:val="000000" w:themeColor="text1"/>
        </w:rPr>
      </w:pPr>
      <w:r w:rsidRPr="00573FA5">
        <w:rPr>
          <w:rFonts w:ascii="Century Schoolbook" w:hAnsi="Century Schoolbook"/>
          <w:color w:val="000000" w:themeColor="text1"/>
        </w:rPr>
        <w:t xml:space="preserve">Even if a bellwether case is voluntarily dismissed before trial, </w:t>
      </w:r>
      <w:r>
        <w:rPr>
          <w:rFonts w:ascii="Century Schoolbook" w:hAnsi="Century Schoolbook"/>
          <w:color w:val="000000" w:themeColor="text1"/>
        </w:rPr>
        <w:t xml:space="preserve">the dismissal itself can be of </w:t>
      </w:r>
      <w:r w:rsidRPr="00573FA5">
        <w:rPr>
          <w:rFonts w:ascii="Century Schoolbook" w:hAnsi="Century Schoolbook"/>
          <w:color w:val="000000" w:themeColor="text1"/>
        </w:rPr>
        <w:t xml:space="preserve">significant </w:t>
      </w:r>
      <w:r>
        <w:rPr>
          <w:rFonts w:ascii="Century Schoolbook" w:hAnsi="Century Schoolbook"/>
          <w:color w:val="000000" w:themeColor="text1"/>
        </w:rPr>
        <w:t xml:space="preserve">predictive </w:t>
      </w:r>
      <w:r w:rsidRPr="00573FA5">
        <w:rPr>
          <w:rFonts w:ascii="Century Schoolbook" w:hAnsi="Century Schoolbook"/>
          <w:color w:val="000000" w:themeColor="text1"/>
        </w:rPr>
        <w:t>value</w:t>
      </w:r>
      <w:r>
        <w:rPr>
          <w:rFonts w:ascii="Century Schoolbook" w:hAnsi="Century Schoolbook"/>
          <w:color w:val="000000" w:themeColor="text1"/>
        </w:rPr>
        <w:t>, particularly if</w:t>
      </w:r>
      <w:r w:rsidRPr="00573FA5">
        <w:rPr>
          <w:rFonts w:ascii="Century Schoolbook" w:hAnsi="Century Schoolbook"/>
          <w:color w:val="000000" w:themeColor="text1"/>
        </w:rPr>
        <w:t xml:space="preserve">the court </w:t>
      </w:r>
      <w:r>
        <w:rPr>
          <w:rFonts w:ascii="Century Schoolbook" w:hAnsi="Century Schoolbook"/>
          <w:color w:val="000000" w:themeColor="text1"/>
        </w:rPr>
        <w:t xml:space="preserve">has made </w:t>
      </w:r>
      <w:r w:rsidRPr="00573FA5">
        <w:rPr>
          <w:rFonts w:ascii="Century Schoolbook" w:hAnsi="Century Schoolbook"/>
          <w:color w:val="000000" w:themeColor="text1"/>
        </w:rPr>
        <w:t xml:space="preserve">pretrial rulings. </w:t>
      </w:r>
      <w:r>
        <w:rPr>
          <w:rFonts w:ascii="Century Schoolbook" w:hAnsi="Century Schoolbook"/>
          <w:color w:val="000000" w:themeColor="text1"/>
        </w:rPr>
        <w:t xml:space="preserve">The </w:t>
      </w:r>
      <w:r w:rsidRPr="00573FA5">
        <w:rPr>
          <w:rFonts w:ascii="Century Schoolbook" w:hAnsi="Century Schoolbook"/>
          <w:color w:val="000000" w:themeColor="text1"/>
        </w:rPr>
        <w:t xml:space="preserve">rulings </w:t>
      </w:r>
      <w:r>
        <w:rPr>
          <w:rFonts w:ascii="Century Schoolbook" w:hAnsi="Century Schoolbook"/>
          <w:color w:val="000000" w:themeColor="text1"/>
        </w:rPr>
        <w:t xml:space="preserve">themselves, regardless of the fate of the particular case, place </w:t>
      </w:r>
      <w:r w:rsidRPr="00573FA5">
        <w:rPr>
          <w:rFonts w:ascii="Century Schoolbook" w:hAnsi="Century Schoolbook"/>
          <w:color w:val="000000" w:themeColor="text1"/>
        </w:rPr>
        <w:t xml:space="preserve">parties in a better position to gauge the direction of the litigation. While bellwether verdicts can be explained away, and a negotiating spin placed on them </w:t>
      </w:r>
      <w:r w:rsidRPr="00573FA5">
        <w:rPr>
          <w:rFonts w:ascii="Century Schoolbook" w:hAnsi="Century Schoolbook"/>
          <w:color w:val="000000" w:themeColor="text1"/>
        </w:rPr>
        <w:lastRenderedPageBreak/>
        <w:t xml:space="preserve">by either side, a court’s ruling (e.g., on a </w:t>
      </w:r>
      <w:r w:rsidRPr="00573FA5">
        <w:rPr>
          <w:rFonts w:ascii="Century Schoolbook" w:hAnsi="Century Schoolbook"/>
          <w:i/>
          <w:color w:val="000000" w:themeColor="text1"/>
        </w:rPr>
        <w:t>Daubert</w:t>
      </w:r>
      <w:r w:rsidRPr="00573FA5">
        <w:rPr>
          <w:rFonts w:ascii="Century Schoolbook" w:hAnsi="Century Schoolbook"/>
          <w:color w:val="000000" w:themeColor="text1"/>
        </w:rPr>
        <w:t xml:space="preserve"> or summary judgment issue) remains. Moreover, repeated voluntary dismissals </w:t>
      </w:r>
      <w:r>
        <w:rPr>
          <w:rFonts w:ascii="Century Schoolbook" w:hAnsi="Century Schoolbook"/>
          <w:color w:val="000000" w:themeColor="text1"/>
        </w:rPr>
        <w:t xml:space="preserve">or eve-of-trial settlements </w:t>
      </w:r>
      <w:r w:rsidR="00A305FF">
        <w:rPr>
          <w:rFonts w:ascii="Century Schoolbook" w:hAnsi="Century Schoolbook"/>
          <w:color w:val="000000" w:themeColor="text1"/>
        </w:rPr>
        <w:t>may be</w:t>
      </w:r>
      <w:r w:rsidRPr="00573FA5">
        <w:rPr>
          <w:rFonts w:ascii="Century Schoolbook" w:hAnsi="Century Schoolbook"/>
          <w:color w:val="000000" w:themeColor="text1"/>
        </w:rPr>
        <w:t xml:space="preserve"> an important signal that </w:t>
      </w:r>
      <w:r>
        <w:rPr>
          <w:rFonts w:ascii="Century Schoolbook" w:hAnsi="Century Schoolbook"/>
          <w:color w:val="000000" w:themeColor="text1"/>
        </w:rPr>
        <w:t xml:space="preserve">the acting </w:t>
      </w:r>
      <w:r w:rsidRPr="00573FA5">
        <w:rPr>
          <w:rFonts w:ascii="Century Schoolbook" w:hAnsi="Century Schoolbook"/>
          <w:color w:val="000000" w:themeColor="text1"/>
        </w:rPr>
        <w:t>side lacks confidence in certain types of cases</w:t>
      </w:r>
      <w:r>
        <w:rPr>
          <w:rFonts w:ascii="Century Schoolbook" w:hAnsi="Century Schoolbook"/>
          <w:color w:val="000000" w:themeColor="text1"/>
        </w:rPr>
        <w:t>,</w:t>
      </w:r>
      <w:r w:rsidRPr="00573FA5">
        <w:rPr>
          <w:rFonts w:ascii="Century Schoolbook" w:hAnsi="Century Schoolbook"/>
          <w:color w:val="000000" w:themeColor="text1"/>
        </w:rPr>
        <w:t xml:space="preserve"> </w:t>
      </w:r>
      <w:r w:rsidR="00A305FF">
        <w:rPr>
          <w:rFonts w:ascii="Century Schoolbook" w:hAnsi="Century Schoolbook"/>
          <w:color w:val="000000" w:themeColor="text1"/>
        </w:rPr>
        <w:t>or</w:t>
      </w:r>
      <w:r w:rsidRPr="00573FA5">
        <w:rPr>
          <w:rFonts w:ascii="Century Schoolbook" w:hAnsi="Century Schoolbook"/>
          <w:color w:val="000000" w:themeColor="text1"/>
        </w:rPr>
        <w:t xml:space="preserve"> that those cases may be candidates for dispositive motions. </w:t>
      </w:r>
    </w:p>
    <w:p w:rsidR="00610156" w:rsidRPr="00573FA5" w:rsidRDefault="00610156" w:rsidP="00610156">
      <w:pPr>
        <w:pStyle w:val="BodyText"/>
        <w:ind w:right="115" w:firstLine="720"/>
        <w:contextualSpacing/>
        <w:rPr>
          <w:rFonts w:ascii="Century Schoolbook" w:hAnsi="Century Schoolbook"/>
          <w:color w:val="000000" w:themeColor="text1"/>
        </w:rPr>
      </w:pPr>
    </w:p>
    <w:p w:rsidR="00610156" w:rsidRPr="00573FA5" w:rsidRDefault="00CA3C6F" w:rsidP="00610156">
      <w:pPr>
        <w:pStyle w:val="BodyText"/>
        <w:ind w:firstLine="720"/>
        <w:contextualSpacing/>
        <w:rPr>
          <w:rFonts w:ascii="Century Schoolbook" w:hAnsi="Century Schoolbook"/>
          <w:color w:val="000000" w:themeColor="text1"/>
        </w:rPr>
      </w:pPr>
      <w:r w:rsidRPr="00573FA5">
        <w:rPr>
          <w:rFonts w:ascii="Century Schoolbook" w:hAnsi="Century Schoolbook"/>
          <w:color w:val="000000" w:themeColor="text1"/>
        </w:rPr>
        <w:t xml:space="preserve">In planning case management, </w:t>
      </w:r>
      <w:r>
        <w:rPr>
          <w:rFonts w:ascii="Century Schoolbook" w:hAnsi="Century Schoolbook"/>
          <w:color w:val="000000" w:themeColor="text1"/>
        </w:rPr>
        <w:t xml:space="preserve">it must be </w:t>
      </w:r>
      <w:r w:rsidRPr="00573FA5">
        <w:rPr>
          <w:rFonts w:ascii="Century Schoolbook" w:hAnsi="Century Schoolbook"/>
          <w:color w:val="000000" w:themeColor="text1"/>
        </w:rPr>
        <w:t>remember</w:t>
      </w:r>
      <w:r>
        <w:rPr>
          <w:rFonts w:ascii="Century Schoolbook" w:hAnsi="Century Schoolbook"/>
          <w:color w:val="000000" w:themeColor="text1"/>
        </w:rPr>
        <w:t>ed</w:t>
      </w:r>
      <w:r w:rsidRPr="00573FA5">
        <w:rPr>
          <w:rFonts w:ascii="Century Schoolbook" w:hAnsi="Century Schoolbook"/>
          <w:color w:val="000000" w:themeColor="text1"/>
        </w:rPr>
        <w:t xml:space="preserve"> that every MDL proceeding is different —what is a best practice in one MDL may be irrelevant</w:t>
      </w:r>
      <w:r>
        <w:rPr>
          <w:rFonts w:ascii="Century Schoolbook" w:hAnsi="Century Schoolbook"/>
          <w:color w:val="000000" w:themeColor="text1"/>
        </w:rPr>
        <w:t>,</w:t>
      </w:r>
      <w:r w:rsidRPr="00573FA5">
        <w:rPr>
          <w:rFonts w:ascii="Century Schoolbook" w:hAnsi="Century Schoolbook"/>
          <w:color w:val="000000" w:themeColor="text1"/>
        </w:rPr>
        <w:t xml:space="preserve"> or </w:t>
      </w:r>
      <w:r>
        <w:rPr>
          <w:rFonts w:ascii="Century Schoolbook" w:hAnsi="Century Schoolbook"/>
          <w:color w:val="000000" w:themeColor="text1"/>
        </w:rPr>
        <w:t xml:space="preserve">even </w:t>
      </w:r>
      <w:r w:rsidRPr="00573FA5">
        <w:rPr>
          <w:rFonts w:ascii="Century Schoolbook" w:hAnsi="Century Schoolbook"/>
          <w:color w:val="000000" w:themeColor="text1"/>
        </w:rPr>
        <w:t>counterproductive</w:t>
      </w:r>
      <w:r>
        <w:rPr>
          <w:rFonts w:ascii="Century Schoolbook" w:hAnsi="Century Schoolbook"/>
          <w:color w:val="000000" w:themeColor="text1"/>
        </w:rPr>
        <w:t>,</w:t>
      </w:r>
      <w:r w:rsidRPr="00573FA5">
        <w:rPr>
          <w:rFonts w:ascii="Century Schoolbook" w:hAnsi="Century Schoolbook"/>
          <w:color w:val="000000" w:themeColor="text1"/>
        </w:rPr>
        <w:t xml:space="preserve"> in another. </w:t>
      </w:r>
      <w:r>
        <w:rPr>
          <w:rFonts w:ascii="Century Schoolbook" w:hAnsi="Century Schoolbook"/>
          <w:color w:val="000000" w:themeColor="text1"/>
        </w:rPr>
        <w:t>Ultimately</w:t>
      </w:r>
      <w:r w:rsidRPr="00573FA5">
        <w:rPr>
          <w:rFonts w:ascii="Century Schoolbook" w:hAnsi="Century Schoolbook"/>
          <w:color w:val="000000" w:themeColor="text1"/>
        </w:rPr>
        <w:t xml:space="preserve">, collaboration among counsel and the court is the most essential ingredient in a successful MDL proceeding. Effective </w:t>
      </w:r>
      <w:r>
        <w:rPr>
          <w:rFonts w:ascii="Century Schoolbook" w:hAnsi="Century Schoolbook"/>
          <w:color w:val="000000" w:themeColor="text1"/>
        </w:rPr>
        <w:t xml:space="preserve">MDL </w:t>
      </w:r>
      <w:r w:rsidRPr="00573FA5">
        <w:rPr>
          <w:rFonts w:ascii="Century Schoolbook" w:hAnsi="Century Schoolbook"/>
          <w:color w:val="000000" w:themeColor="text1"/>
        </w:rPr>
        <w:t xml:space="preserve">management depends on cooperation among counsel to a greater degree than in other civil litigation matters due to the magnitude and complexity of what is </w:t>
      </w:r>
      <w:r>
        <w:rPr>
          <w:rFonts w:ascii="Century Schoolbook" w:hAnsi="Century Schoolbook"/>
          <w:color w:val="000000" w:themeColor="text1"/>
        </w:rPr>
        <w:t>ordinarily</w:t>
      </w:r>
      <w:r w:rsidRPr="00573FA5">
        <w:rPr>
          <w:rFonts w:ascii="Century Schoolbook" w:hAnsi="Century Schoolbook"/>
          <w:color w:val="000000" w:themeColor="text1"/>
        </w:rPr>
        <w:t xml:space="preserve"> at stake in MDL cases. Proper case management is a shared responsibility among the court and counsel, and the court should hold counsel accountable for fulfilling their duties in that regard.</w:t>
      </w:r>
      <w:r>
        <w:rPr>
          <w:rStyle w:val="FootnoteReference"/>
          <w:rFonts w:ascii="Century Schoolbook" w:hAnsi="Century Schoolbook"/>
          <w:color w:val="000000" w:themeColor="text1"/>
        </w:rPr>
        <w:footnoteReference w:id="40"/>
      </w:r>
    </w:p>
    <w:p w:rsidR="00610156" w:rsidRPr="00573FA5" w:rsidRDefault="00610156" w:rsidP="00610156">
      <w:pPr>
        <w:pStyle w:val="BodyText"/>
        <w:ind w:left="839" w:right="1645"/>
        <w:contextualSpacing/>
        <w:jc w:val="both"/>
        <w:rPr>
          <w:rFonts w:ascii="Century Schoolbook" w:hAnsi="Century Schoolbook"/>
          <w:smallCaps/>
          <w:color w:val="000000" w:themeColor="text1"/>
        </w:rPr>
      </w:pPr>
    </w:p>
    <w:p w:rsidR="00610156" w:rsidRPr="00573FA5" w:rsidRDefault="00CA3C6F" w:rsidP="00610156">
      <w:pPr>
        <w:pStyle w:val="BodyText"/>
        <w:ind w:left="720" w:right="720"/>
        <w:contextualSpacing/>
        <w:jc w:val="both"/>
        <w:rPr>
          <w:rFonts w:ascii="Century Schoolbook" w:hAnsi="Century Schoolbook"/>
          <w:color w:val="000000" w:themeColor="text1"/>
        </w:rPr>
      </w:pPr>
      <w:r w:rsidRPr="00573FA5">
        <w:rPr>
          <w:rFonts w:ascii="Century Schoolbook" w:hAnsi="Century Schoolbook"/>
          <w:smallCaps/>
          <w:color w:val="000000" w:themeColor="text1"/>
        </w:rPr>
        <w:t>Best Practice 1E(</w:t>
      </w:r>
      <w:r w:rsidRPr="00573FA5">
        <w:rPr>
          <w:rFonts w:ascii="Century Schoolbook" w:hAnsi="Century Schoolbook"/>
          <w:color w:val="000000" w:themeColor="text1"/>
        </w:rPr>
        <w:t>v</w:t>
      </w:r>
      <w:r w:rsidRPr="00573FA5">
        <w:rPr>
          <w:rFonts w:ascii="Century Schoolbook" w:hAnsi="Century Schoolbook"/>
          <w:smallCaps/>
          <w:color w:val="000000" w:themeColor="text1"/>
        </w:rPr>
        <w:t>):</w:t>
      </w:r>
      <w:r w:rsidRPr="00573FA5">
        <w:rPr>
          <w:rFonts w:ascii="Century Schoolbook" w:hAnsi="Century Schoolbook"/>
          <w:color w:val="000000" w:themeColor="text1"/>
        </w:rPr>
        <w:t xml:space="preserve"> The t</w:t>
      </w:r>
      <w:r>
        <w:rPr>
          <w:rFonts w:ascii="Century Schoolbook" w:hAnsi="Century Schoolbook"/>
          <w:color w:val="000000" w:themeColor="text1"/>
        </w:rPr>
        <w:t xml:space="preserve">ransferee judge should consider </w:t>
      </w:r>
      <w:r w:rsidRPr="00573FA5">
        <w:rPr>
          <w:rFonts w:ascii="Century Schoolbook" w:hAnsi="Century Schoolbook"/>
          <w:color w:val="000000" w:themeColor="text1"/>
        </w:rPr>
        <w:t>using bellwether alternatives, including mini-trials and mediation.</w:t>
      </w:r>
    </w:p>
    <w:p w:rsidR="00610156" w:rsidRPr="00573FA5" w:rsidRDefault="00610156" w:rsidP="00610156">
      <w:pPr>
        <w:pStyle w:val="BodyText"/>
        <w:ind w:left="839" w:right="1645"/>
        <w:contextualSpacing/>
        <w:jc w:val="both"/>
        <w:rPr>
          <w:rFonts w:ascii="Century Schoolbook" w:hAnsi="Century Schoolbook"/>
          <w:color w:val="000000" w:themeColor="text1"/>
        </w:rPr>
      </w:pPr>
    </w:p>
    <w:p w:rsidR="00610156" w:rsidRPr="00573FA5" w:rsidRDefault="00CA3C6F" w:rsidP="00610156">
      <w:pPr>
        <w:pStyle w:val="BodyText"/>
        <w:ind w:firstLine="720"/>
        <w:contextualSpacing/>
        <w:rPr>
          <w:rFonts w:ascii="Century Schoolbook" w:hAnsi="Century Schoolbook"/>
          <w:color w:val="000000" w:themeColor="text1"/>
        </w:rPr>
      </w:pPr>
      <w:r w:rsidRPr="00573FA5">
        <w:rPr>
          <w:rFonts w:ascii="Century Schoolbook" w:hAnsi="Century Schoolbook"/>
          <w:color w:val="000000" w:themeColor="text1"/>
        </w:rPr>
        <w:t>The ultimate goal of bellwether trials is to inform the parties of the value of claims. While a full-blown merits trial on an individual case offers one data point of claim value, methods short of bellwether trials can furnish useful information for lawyers</w:t>
      </w:r>
      <w:r>
        <w:rPr>
          <w:rFonts w:ascii="Century Schoolbook" w:hAnsi="Century Schoolbook"/>
          <w:color w:val="000000" w:themeColor="text1"/>
        </w:rPr>
        <w:t>, often at less cost</w:t>
      </w:r>
      <w:r w:rsidRPr="00573FA5">
        <w:rPr>
          <w:rFonts w:ascii="Century Schoolbook" w:hAnsi="Century Schoolbook"/>
          <w:color w:val="000000" w:themeColor="text1"/>
        </w:rPr>
        <w:t xml:space="preserve">. </w:t>
      </w:r>
      <w:r w:rsidRPr="00573FA5">
        <w:rPr>
          <w:rFonts w:ascii="Century Schoolbook" w:hAnsi="Century Schoolbook"/>
          <w:i/>
          <w:color w:val="000000" w:themeColor="text1"/>
        </w:rPr>
        <w:t xml:space="preserve">Daubert </w:t>
      </w:r>
      <w:r w:rsidRPr="00573FA5">
        <w:rPr>
          <w:rFonts w:ascii="Century Schoolbook" w:hAnsi="Century Schoolbook"/>
          <w:color w:val="000000" w:themeColor="text1"/>
        </w:rPr>
        <w:t xml:space="preserve">rulings, for example, give litigants a strong sense for what types of claims will make it to the jury. Pretrial rulings on motions </w:t>
      </w:r>
      <w:r w:rsidRPr="00573FA5">
        <w:rPr>
          <w:rFonts w:ascii="Century Schoolbook" w:hAnsi="Century Schoolbook"/>
          <w:i/>
          <w:color w:val="000000" w:themeColor="text1"/>
        </w:rPr>
        <w:t>in</w:t>
      </w:r>
      <w:r w:rsidRPr="00573FA5">
        <w:rPr>
          <w:rFonts w:ascii="Century Schoolbook" w:hAnsi="Century Schoolbook"/>
          <w:color w:val="000000" w:themeColor="text1"/>
        </w:rPr>
        <w:t xml:space="preserve"> </w:t>
      </w:r>
      <w:r w:rsidRPr="00573FA5">
        <w:rPr>
          <w:rFonts w:ascii="Century Schoolbook" w:hAnsi="Century Schoolbook"/>
          <w:i/>
          <w:color w:val="000000" w:themeColor="text1"/>
        </w:rPr>
        <w:t>limine</w:t>
      </w:r>
      <w:r w:rsidRPr="00573FA5">
        <w:rPr>
          <w:rFonts w:ascii="Century Schoolbook" w:hAnsi="Century Schoolbook"/>
          <w:color w:val="000000" w:themeColor="text1"/>
        </w:rPr>
        <w:t xml:space="preserve"> indicate whether critical evidence will be admissible at trial. </w:t>
      </w:r>
      <w:r w:rsidR="00A305FF">
        <w:rPr>
          <w:rFonts w:ascii="Century Schoolbook" w:hAnsi="Century Schoolbook"/>
          <w:color w:val="000000" w:themeColor="text1"/>
        </w:rPr>
        <w:t>In addition to</w:t>
      </w:r>
      <w:r w:rsidRPr="00573FA5">
        <w:rPr>
          <w:rFonts w:ascii="Century Schoolbook" w:hAnsi="Century Schoolbook"/>
          <w:color w:val="000000" w:themeColor="text1"/>
        </w:rPr>
        <w:t xml:space="preserve"> developing information for litigants through pretrial procedures, courts can employ bellwether alternatives specifically designed to uncover the value of claims.</w:t>
      </w:r>
    </w:p>
    <w:p w:rsidR="00610156" w:rsidRPr="00573FA5" w:rsidRDefault="00610156" w:rsidP="00610156">
      <w:pPr>
        <w:pStyle w:val="BodyText"/>
        <w:ind w:firstLine="720"/>
        <w:contextualSpacing/>
        <w:jc w:val="both"/>
        <w:rPr>
          <w:rFonts w:ascii="Century Schoolbook" w:hAnsi="Century Schoolbook"/>
          <w:color w:val="000000" w:themeColor="text1"/>
        </w:rPr>
      </w:pPr>
    </w:p>
    <w:p w:rsidR="00610156" w:rsidRPr="00573FA5" w:rsidRDefault="00CA3C6F" w:rsidP="00610156">
      <w:pPr>
        <w:pStyle w:val="BodyText"/>
        <w:contextualSpacing/>
        <w:rPr>
          <w:rFonts w:ascii="Century Schoolbook" w:hAnsi="Century Schoolbook"/>
          <w:color w:val="000000" w:themeColor="text1"/>
        </w:rPr>
      </w:pPr>
      <w:r w:rsidRPr="00573FA5">
        <w:rPr>
          <w:rFonts w:ascii="Century Schoolbook" w:hAnsi="Century Schoolbook"/>
          <w:color w:val="000000" w:themeColor="text1"/>
        </w:rPr>
        <w:tab/>
        <w:t xml:space="preserve">One such approach is to encourage parties to agree to “summary trials.” Summary trials involve impaneling a jury from the federal jury pool to hear an abbreviated </w:t>
      </w:r>
      <w:r>
        <w:rPr>
          <w:rFonts w:ascii="Century Schoolbook" w:hAnsi="Century Schoolbook"/>
          <w:color w:val="000000" w:themeColor="text1"/>
        </w:rPr>
        <w:t>presentation of evidence</w:t>
      </w:r>
      <w:r w:rsidRPr="00573FA5">
        <w:rPr>
          <w:rFonts w:ascii="Century Schoolbook" w:hAnsi="Century Schoolbook"/>
          <w:color w:val="000000" w:themeColor="text1"/>
        </w:rPr>
        <w:t xml:space="preserve">.  Summary trials often last no more than a day and end with a nonbinding verdict. Summary trials may be limited to the lawyers’ presentation of </w:t>
      </w:r>
      <w:r>
        <w:rPr>
          <w:rFonts w:ascii="Century Schoolbook" w:hAnsi="Century Schoolbook"/>
          <w:color w:val="000000" w:themeColor="text1"/>
        </w:rPr>
        <w:t xml:space="preserve">only </w:t>
      </w:r>
      <w:r w:rsidRPr="00573FA5">
        <w:rPr>
          <w:rFonts w:ascii="Century Schoolbook" w:hAnsi="Century Schoolbook"/>
          <w:color w:val="000000" w:themeColor="text1"/>
        </w:rPr>
        <w:t xml:space="preserve">the key evidence </w:t>
      </w:r>
      <w:r>
        <w:rPr>
          <w:rFonts w:ascii="Century Schoolbook" w:hAnsi="Century Schoolbook"/>
          <w:color w:val="000000" w:themeColor="text1"/>
        </w:rPr>
        <w:t xml:space="preserve">that would be heard </w:t>
      </w:r>
      <w:r w:rsidRPr="00573FA5">
        <w:rPr>
          <w:rFonts w:ascii="Century Schoolbook" w:hAnsi="Century Schoolbook"/>
          <w:color w:val="000000" w:themeColor="text1"/>
        </w:rPr>
        <w:t xml:space="preserve">at trial, or they may involve live testimony by </w:t>
      </w:r>
      <w:r>
        <w:rPr>
          <w:rFonts w:ascii="Century Schoolbook" w:hAnsi="Century Schoolbook"/>
          <w:color w:val="000000" w:themeColor="text1"/>
        </w:rPr>
        <w:t>the most critical</w:t>
      </w:r>
      <w:r w:rsidRPr="00573FA5">
        <w:rPr>
          <w:rFonts w:ascii="Century Schoolbook" w:hAnsi="Century Schoolbook"/>
          <w:color w:val="000000" w:themeColor="text1"/>
        </w:rPr>
        <w:t xml:space="preserve"> witnesses. Although this option </w:t>
      </w:r>
      <w:r w:rsidR="00A305FF">
        <w:rPr>
          <w:rFonts w:ascii="Century Schoolbook" w:hAnsi="Century Schoolbook"/>
          <w:color w:val="000000" w:themeColor="text1"/>
        </w:rPr>
        <w:t>may</w:t>
      </w:r>
      <w:r w:rsidRPr="00573FA5">
        <w:rPr>
          <w:rFonts w:ascii="Century Schoolbook" w:hAnsi="Century Schoolbook"/>
          <w:color w:val="000000" w:themeColor="text1"/>
        </w:rPr>
        <w:t xml:space="preserve"> be unpalatable to litigants who demand the “real thing,” summary trials are a less expensive alternative to bellwethers that can quickly generate helpful information. Because “real juries” are involved, parties may walk away with an accurate sense for how their claims will be received. </w:t>
      </w:r>
    </w:p>
    <w:p w:rsidR="00610156" w:rsidRDefault="00CA3C6F" w:rsidP="00610156">
      <w:pPr>
        <w:pStyle w:val="BodyText"/>
        <w:contextualSpacing/>
        <w:rPr>
          <w:rFonts w:ascii="Century Schoolbook" w:hAnsi="Century Schoolbook"/>
          <w:color w:val="000000" w:themeColor="text1"/>
        </w:rPr>
      </w:pPr>
      <w:r w:rsidRPr="00573FA5">
        <w:rPr>
          <w:rFonts w:ascii="Century Schoolbook" w:hAnsi="Century Schoolbook"/>
          <w:color w:val="000000" w:themeColor="text1"/>
        </w:rPr>
        <w:tab/>
      </w:r>
    </w:p>
    <w:p w:rsidR="00610156" w:rsidRPr="00573FA5" w:rsidRDefault="00CA3C6F" w:rsidP="00610156">
      <w:pPr>
        <w:pStyle w:val="BodyText"/>
        <w:ind w:firstLine="720"/>
        <w:contextualSpacing/>
        <w:rPr>
          <w:rFonts w:ascii="Century Schoolbook" w:hAnsi="Century Schoolbook"/>
          <w:color w:val="000000" w:themeColor="text1"/>
        </w:rPr>
      </w:pPr>
      <w:r w:rsidRPr="00573FA5">
        <w:rPr>
          <w:rFonts w:ascii="Century Schoolbook" w:hAnsi="Century Schoolbook"/>
          <w:color w:val="000000" w:themeColor="text1"/>
        </w:rPr>
        <w:t xml:space="preserve">Mini-trials, a similar tool, are nonbinding trials on single issues — </w:t>
      </w:r>
      <w:r>
        <w:rPr>
          <w:rFonts w:ascii="Century Schoolbook" w:hAnsi="Century Schoolbook"/>
          <w:color w:val="000000" w:themeColor="text1"/>
        </w:rPr>
        <w:t xml:space="preserve">most </w:t>
      </w:r>
      <w:r w:rsidRPr="00573FA5">
        <w:rPr>
          <w:rFonts w:ascii="Century Schoolbook" w:hAnsi="Century Schoolbook"/>
          <w:color w:val="000000" w:themeColor="text1"/>
        </w:rPr>
        <w:t>often liability</w:t>
      </w:r>
      <w:r>
        <w:rPr>
          <w:rFonts w:ascii="Century Schoolbook" w:hAnsi="Century Schoolbook"/>
          <w:color w:val="000000" w:themeColor="text1"/>
        </w:rPr>
        <w:t>, causation,</w:t>
      </w:r>
      <w:r w:rsidRPr="00573FA5">
        <w:rPr>
          <w:rFonts w:ascii="Century Schoolbook" w:hAnsi="Century Schoolbook"/>
          <w:color w:val="000000" w:themeColor="text1"/>
        </w:rPr>
        <w:t xml:space="preserve"> or damages. Mini-trials present an</w:t>
      </w:r>
      <w:r>
        <w:rPr>
          <w:rFonts w:ascii="Century Schoolbook" w:hAnsi="Century Schoolbook"/>
          <w:color w:val="000000" w:themeColor="text1"/>
        </w:rPr>
        <w:t>other</w:t>
      </w:r>
      <w:r w:rsidRPr="00573FA5">
        <w:rPr>
          <w:rFonts w:ascii="Century Schoolbook" w:hAnsi="Century Schoolbook"/>
          <w:color w:val="000000" w:themeColor="text1"/>
        </w:rPr>
        <w:t xml:space="preserve"> opportunity to efficiently generate information about a spectrum of claims, as they typically </w:t>
      </w:r>
      <w:r w:rsidRPr="00573FA5">
        <w:rPr>
          <w:rFonts w:ascii="Century Schoolbook" w:hAnsi="Century Schoolbook"/>
          <w:color w:val="000000" w:themeColor="text1"/>
        </w:rPr>
        <w:lastRenderedPageBreak/>
        <w:t>include groups of cases consolidated under Rule 42. Although this type of adjudication is quick and inexpensive, mini-trials may be of limited value to the parties. Some defense lawyers point to the fact that a finding on liability based on a presentation entirely divorced from assessing causation may be unpersuasive.</w:t>
      </w:r>
      <w:r>
        <w:rPr>
          <w:rFonts w:ascii="Century Schoolbook" w:hAnsi="Century Schoolbook"/>
          <w:color w:val="000000" w:themeColor="text1"/>
        </w:rPr>
        <w:t xml:space="preserve"> There is also no opportunity to appeal adverse rulings, which </w:t>
      </w:r>
      <w:r w:rsidR="00A305FF">
        <w:rPr>
          <w:rFonts w:ascii="Century Schoolbook" w:hAnsi="Century Schoolbook"/>
          <w:color w:val="000000" w:themeColor="text1"/>
        </w:rPr>
        <w:t xml:space="preserve">may diminish the rulings’ </w:t>
      </w:r>
      <w:r>
        <w:rPr>
          <w:rFonts w:ascii="Century Schoolbook" w:hAnsi="Century Schoolbook"/>
          <w:color w:val="000000" w:themeColor="text1"/>
        </w:rPr>
        <w:t>predictive value.</w:t>
      </w:r>
    </w:p>
    <w:p w:rsidR="00610156" w:rsidRPr="00573FA5" w:rsidRDefault="00CA3C6F" w:rsidP="00610156">
      <w:pPr>
        <w:pStyle w:val="BodyText"/>
        <w:ind w:right="43"/>
        <w:contextualSpacing/>
        <w:rPr>
          <w:rFonts w:ascii="Century Schoolbook" w:hAnsi="Century Schoolbook"/>
          <w:color w:val="000000" w:themeColor="text1"/>
        </w:rPr>
      </w:pPr>
      <w:r w:rsidRPr="00573FA5">
        <w:rPr>
          <w:rFonts w:ascii="Century Schoolbook" w:hAnsi="Century Schoolbook"/>
          <w:color w:val="000000" w:themeColor="text1"/>
        </w:rPr>
        <w:tab/>
      </w:r>
    </w:p>
    <w:p w:rsidR="00610156" w:rsidRDefault="00CA3C6F" w:rsidP="00610156">
      <w:pPr>
        <w:pStyle w:val="BodyText"/>
        <w:ind w:firstLine="720"/>
        <w:contextualSpacing/>
        <w:rPr>
          <w:rFonts w:ascii="Century Schoolbook" w:hAnsi="Century Schoolbook"/>
          <w:color w:val="000000" w:themeColor="text1"/>
        </w:rPr>
      </w:pPr>
      <w:r w:rsidRPr="00573FA5">
        <w:rPr>
          <w:rFonts w:ascii="Century Schoolbook" w:hAnsi="Century Schoolbook"/>
          <w:color w:val="000000" w:themeColor="text1"/>
        </w:rPr>
        <w:t xml:space="preserve">In addition to bellwether alternatives, the transferee judge can consider appointing a special master or settlement judge to oversee settlement negotiations. This judicial initiative can help both sides, removing the fear that the party suggesting settlement first will relinquish negotiating power. Further, it brings both sides to the negotiating table, over the reluctance of some of the individual plaintiffs or defendants. Judicial involvement will not always be necessary; </w:t>
      </w:r>
      <w:r>
        <w:rPr>
          <w:rFonts w:ascii="Century Schoolbook" w:hAnsi="Century Schoolbook"/>
          <w:color w:val="000000" w:themeColor="text1"/>
        </w:rPr>
        <w:t xml:space="preserve">but </w:t>
      </w:r>
      <w:r w:rsidR="00A305FF">
        <w:rPr>
          <w:rFonts w:ascii="Century Schoolbook" w:hAnsi="Century Schoolbook"/>
          <w:color w:val="000000" w:themeColor="text1"/>
        </w:rPr>
        <w:t xml:space="preserve">it may </w:t>
      </w:r>
      <w:r>
        <w:rPr>
          <w:rFonts w:ascii="Century Schoolbook" w:hAnsi="Century Schoolbook"/>
          <w:color w:val="000000" w:themeColor="text1"/>
        </w:rPr>
        <w:t xml:space="preserve">prove essential </w:t>
      </w:r>
      <w:r w:rsidR="00A305FF">
        <w:rPr>
          <w:rFonts w:ascii="Century Schoolbook" w:hAnsi="Century Schoolbook"/>
          <w:color w:val="000000" w:themeColor="text1"/>
        </w:rPr>
        <w:t>after</w:t>
      </w:r>
      <w:r>
        <w:rPr>
          <w:rFonts w:ascii="Century Schoolbook" w:hAnsi="Century Schoolbook"/>
          <w:color w:val="000000" w:themeColor="text1"/>
        </w:rPr>
        <w:t xml:space="preserve"> </w:t>
      </w:r>
      <w:r w:rsidRPr="00573FA5">
        <w:rPr>
          <w:rFonts w:ascii="Century Schoolbook" w:hAnsi="Century Schoolbook"/>
          <w:color w:val="000000" w:themeColor="text1"/>
        </w:rPr>
        <w:t>a significant breakdown in trust</w:t>
      </w:r>
      <w:r>
        <w:rPr>
          <w:rFonts w:ascii="Century Schoolbook" w:hAnsi="Century Schoolbook"/>
          <w:color w:val="000000" w:themeColor="text1"/>
        </w:rPr>
        <w:t xml:space="preserve"> between </w:t>
      </w:r>
      <w:r w:rsidR="00A305FF">
        <w:rPr>
          <w:rFonts w:ascii="Century Schoolbook" w:hAnsi="Century Schoolbook"/>
          <w:color w:val="000000" w:themeColor="text1"/>
        </w:rPr>
        <w:t>the parties</w:t>
      </w:r>
      <w:r w:rsidRPr="00573FA5">
        <w:rPr>
          <w:rFonts w:ascii="Century Schoolbook" w:hAnsi="Century Schoolbook"/>
          <w:color w:val="000000" w:themeColor="text1"/>
        </w:rPr>
        <w:t>. One example of a judicially-supervised settlement resulted in a global agreement after the parties worked with a settlement master to construct a grid that provided the values of different types of claims.</w:t>
      </w:r>
    </w:p>
    <w:p w:rsidR="00610156" w:rsidRDefault="00610156" w:rsidP="00610156">
      <w:pPr>
        <w:pStyle w:val="BodyText"/>
        <w:ind w:firstLine="720"/>
        <w:contextualSpacing/>
        <w:rPr>
          <w:rFonts w:ascii="Century Schoolbook" w:hAnsi="Century Schoolbook"/>
          <w:color w:val="000000" w:themeColor="text1"/>
        </w:rPr>
      </w:pPr>
    </w:p>
    <w:p w:rsidR="00610156" w:rsidRPr="00573FA5" w:rsidRDefault="00CA3C6F" w:rsidP="00610156">
      <w:pPr>
        <w:pStyle w:val="BodyText"/>
        <w:ind w:firstLine="720"/>
        <w:contextualSpacing/>
        <w:rPr>
          <w:rFonts w:ascii="Century Schoolbook" w:hAnsi="Century Schoolbook"/>
          <w:color w:val="000000" w:themeColor="text1"/>
        </w:rPr>
      </w:pPr>
      <w:r w:rsidRPr="00573FA5">
        <w:rPr>
          <w:rFonts w:ascii="Century Schoolbook" w:hAnsi="Century Schoolbook"/>
          <w:color w:val="000000" w:themeColor="text1"/>
        </w:rPr>
        <w:t>Settlement talks will only prove fruitful if they occur after both sides have enough information to accurately assess claim values. But the transferee judge should exercise great caution not to appoint a special master or settlement judge too early in the proceedings</w:t>
      </w:r>
      <w:r>
        <w:rPr>
          <w:rFonts w:ascii="Century Schoolbook" w:hAnsi="Century Schoolbook"/>
          <w:color w:val="000000" w:themeColor="text1"/>
        </w:rPr>
        <w:t>,</w:t>
      </w:r>
      <w:r w:rsidRPr="00573FA5">
        <w:rPr>
          <w:rFonts w:ascii="Century Schoolbook" w:hAnsi="Century Schoolbook"/>
          <w:color w:val="000000" w:themeColor="text1"/>
        </w:rPr>
        <w:t xml:space="preserve"> when sufficient information has not yet been gathered on the strength and weaknesses of the claims. A premature appointment may inappropriately signal a judicial predilection towards settlement.</w:t>
      </w:r>
      <w:r>
        <w:rPr>
          <w:rStyle w:val="FootnoteReference"/>
          <w:rFonts w:ascii="Century Schoolbook" w:hAnsi="Century Schoolbook"/>
          <w:color w:val="000000" w:themeColor="text1"/>
        </w:rPr>
        <w:footnoteReference w:id="41"/>
      </w:r>
    </w:p>
    <w:p w:rsidR="009E622F" w:rsidRDefault="009E622F" w:rsidP="00610156">
      <w:pPr>
        <w:contextualSpacing/>
        <w:jc w:val="center"/>
        <w:rPr>
          <w:rFonts w:ascii="Century Schoolbook" w:hAnsi="Century Schoolbook"/>
          <w:b/>
          <w:smallCaps/>
          <w:sz w:val="24"/>
          <w:szCs w:val="24"/>
        </w:rPr>
      </w:pPr>
    </w:p>
    <w:p w:rsidR="009E622F" w:rsidRDefault="009E622F" w:rsidP="00610156">
      <w:pPr>
        <w:contextualSpacing/>
        <w:jc w:val="center"/>
        <w:rPr>
          <w:rFonts w:ascii="Century Schoolbook" w:hAnsi="Century Schoolbook"/>
          <w:b/>
          <w:smallCaps/>
          <w:sz w:val="24"/>
          <w:szCs w:val="24"/>
        </w:rPr>
      </w:pPr>
    </w:p>
    <w:p w:rsidR="009E622F" w:rsidRDefault="009E622F" w:rsidP="00610156">
      <w:pPr>
        <w:contextualSpacing/>
        <w:jc w:val="center"/>
        <w:rPr>
          <w:rFonts w:ascii="Century Schoolbook" w:hAnsi="Century Schoolbook"/>
          <w:b/>
          <w:smallCaps/>
          <w:sz w:val="24"/>
          <w:szCs w:val="24"/>
        </w:rPr>
      </w:pPr>
    </w:p>
    <w:p w:rsidR="009E622F" w:rsidRDefault="009E622F" w:rsidP="00610156">
      <w:pPr>
        <w:contextualSpacing/>
        <w:jc w:val="center"/>
        <w:rPr>
          <w:rFonts w:ascii="Century Schoolbook" w:hAnsi="Century Schoolbook"/>
          <w:b/>
          <w:smallCaps/>
          <w:sz w:val="24"/>
          <w:szCs w:val="24"/>
        </w:rPr>
      </w:pPr>
    </w:p>
    <w:p w:rsidR="009E622F" w:rsidRDefault="009E622F" w:rsidP="00610156">
      <w:pPr>
        <w:contextualSpacing/>
        <w:jc w:val="center"/>
        <w:rPr>
          <w:rFonts w:ascii="Century Schoolbook" w:hAnsi="Century Schoolbook"/>
          <w:b/>
          <w:smallCaps/>
          <w:sz w:val="24"/>
          <w:szCs w:val="24"/>
        </w:rPr>
      </w:pPr>
    </w:p>
    <w:p w:rsidR="009E622F" w:rsidRDefault="009E622F" w:rsidP="00610156">
      <w:pPr>
        <w:contextualSpacing/>
        <w:jc w:val="center"/>
        <w:rPr>
          <w:rFonts w:ascii="Century Schoolbook" w:hAnsi="Century Schoolbook"/>
          <w:b/>
          <w:smallCaps/>
          <w:sz w:val="24"/>
          <w:szCs w:val="24"/>
        </w:rPr>
      </w:pPr>
    </w:p>
    <w:p w:rsidR="009E622F" w:rsidRDefault="009E622F" w:rsidP="00610156">
      <w:pPr>
        <w:contextualSpacing/>
        <w:jc w:val="center"/>
        <w:rPr>
          <w:rFonts w:ascii="Century Schoolbook" w:hAnsi="Century Schoolbook"/>
          <w:b/>
          <w:smallCaps/>
          <w:sz w:val="24"/>
          <w:szCs w:val="24"/>
        </w:rPr>
      </w:pPr>
    </w:p>
    <w:p w:rsidR="009E622F" w:rsidRDefault="009E622F" w:rsidP="00610156">
      <w:pPr>
        <w:contextualSpacing/>
        <w:jc w:val="center"/>
        <w:rPr>
          <w:rFonts w:ascii="Century Schoolbook" w:hAnsi="Century Schoolbook"/>
          <w:b/>
          <w:smallCaps/>
          <w:sz w:val="24"/>
          <w:szCs w:val="24"/>
        </w:rPr>
      </w:pPr>
    </w:p>
    <w:p w:rsidR="009E622F" w:rsidRDefault="009E622F" w:rsidP="00610156">
      <w:pPr>
        <w:contextualSpacing/>
        <w:jc w:val="center"/>
        <w:rPr>
          <w:rFonts w:ascii="Century Schoolbook" w:hAnsi="Century Schoolbook"/>
          <w:b/>
          <w:smallCaps/>
          <w:sz w:val="24"/>
          <w:szCs w:val="24"/>
        </w:rPr>
      </w:pPr>
    </w:p>
    <w:p w:rsidR="009E622F" w:rsidRDefault="009E622F" w:rsidP="00610156">
      <w:pPr>
        <w:contextualSpacing/>
        <w:jc w:val="center"/>
        <w:rPr>
          <w:rFonts w:ascii="Century Schoolbook" w:hAnsi="Century Schoolbook"/>
          <w:b/>
          <w:smallCaps/>
          <w:sz w:val="24"/>
          <w:szCs w:val="24"/>
        </w:rPr>
      </w:pPr>
    </w:p>
    <w:p w:rsidR="009E622F" w:rsidRDefault="009E622F" w:rsidP="00610156">
      <w:pPr>
        <w:contextualSpacing/>
        <w:jc w:val="center"/>
        <w:rPr>
          <w:rFonts w:ascii="Century Schoolbook" w:hAnsi="Century Schoolbook"/>
          <w:b/>
          <w:smallCaps/>
          <w:sz w:val="24"/>
          <w:szCs w:val="24"/>
        </w:rPr>
      </w:pPr>
    </w:p>
    <w:p w:rsidR="009E622F" w:rsidRDefault="009E622F" w:rsidP="00610156">
      <w:pPr>
        <w:contextualSpacing/>
        <w:jc w:val="center"/>
        <w:rPr>
          <w:rFonts w:ascii="Century Schoolbook" w:hAnsi="Century Schoolbook"/>
          <w:b/>
          <w:smallCaps/>
          <w:sz w:val="24"/>
          <w:szCs w:val="24"/>
        </w:rPr>
      </w:pPr>
    </w:p>
    <w:p w:rsidR="009E622F" w:rsidRDefault="009E622F" w:rsidP="00610156">
      <w:pPr>
        <w:contextualSpacing/>
        <w:jc w:val="center"/>
        <w:rPr>
          <w:rFonts w:ascii="Century Schoolbook" w:hAnsi="Century Schoolbook"/>
          <w:b/>
          <w:smallCaps/>
          <w:sz w:val="24"/>
          <w:szCs w:val="24"/>
        </w:rPr>
      </w:pPr>
    </w:p>
    <w:p w:rsidR="009E622F" w:rsidRDefault="009E622F" w:rsidP="00610156">
      <w:pPr>
        <w:contextualSpacing/>
        <w:jc w:val="center"/>
        <w:rPr>
          <w:rFonts w:ascii="Century Schoolbook" w:hAnsi="Century Schoolbook"/>
          <w:b/>
          <w:smallCaps/>
          <w:sz w:val="24"/>
          <w:szCs w:val="24"/>
        </w:rPr>
      </w:pPr>
    </w:p>
    <w:p w:rsidR="009E622F" w:rsidRDefault="009E622F" w:rsidP="00610156">
      <w:pPr>
        <w:contextualSpacing/>
        <w:jc w:val="center"/>
        <w:rPr>
          <w:rFonts w:ascii="Century Schoolbook" w:hAnsi="Century Schoolbook"/>
          <w:b/>
          <w:smallCaps/>
          <w:sz w:val="24"/>
          <w:szCs w:val="24"/>
        </w:rPr>
      </w:pPr>
    </w:p>
    <w:p w:rsidR="009E622F" w:rsidRDefault="009E622F" w:rsidP="00610156">
      <w:pPr>
        <w:contextualSpacing/>
        <w:jc w:val="center"/>
        <w:rPr>
          <w:rFonts w:ascii="Century Schoolbook" w:hAnsi="Century Schoolbook"/>
          <w:b/>
          <w:smallCaps/>
          <w:sz w:val="24"/>
          <w:szCs w:val="24"/>
        </w:rPr>
      </w:pPr>
    </w:p>
    <w:p w:rsidR="009E622F" w:rsidRDefault="009E622F" w:rsidP="00610156">
      <w:pPr>
        <w:contextualSpacing/>
        <w:jc w:val="center"/>
        <w:rPr>
          <w:rFonts w:ascii="Century Schoolbook" w:hAnsi="Century Schoolbook"/>
          <w:b/>
          <w:smallCaps/>
          <w:sz w:val="24"/>
          <w:szCs w:val="24"/>
        </w:rPr>
      </w:pPr>
    </w:p>
    <w:p w:rsidR="009E622F" w:rsidRDefault="009E622F" w:rsidP="00610156">
      <w:pPr>
        <w:contextualSpacing/>
        <w:jc w:val="center"/>
        <w:rPr>
          <w:rFonts w:ascii="Century Schoolbook" w:hAnsi="Century Schoolbook"/>
          <w:b/>
          <w:smallCaps/>
          <w:sz w:val="24"/>
          <w:szCs w:val="24"/>
        </w:rPr>
      </w:pPr>
    </w:p>
    <w:p w:rsidR="009E622F" w:rsidRDefault="009E622F" w:rsidP="00610156">
      <w:pPr>
        <w:contextualSpacing/>
        <w:jc w:val="center"/>
        <w:rPr>
          <w:rFonts w:ascii="Century Schoolbook" w:hAnsi="Century Schoolbook"/>
          <w:b/>
          <w:smallCaps/>
          <w:sz w:val="24"/>
          <w:szCs w:val="24"/>
        </w:rPr>
      </w:pPr>
    </w:p>
    <w:p w:rsidR="00610156" w:rsidRPr="004A00C1" w:rsidRDefault="00CA3C6F" w:rsidP="00610156">
      <w:pPr>
        <w:contextualSpacing/>
        <w:jc w:val="center"/>
        <w:rPr>
          <w:rFonts w:ascii="Century Schoolbook" w:hAnsi="Century Schoolbook"/>
          <w:b/>
          <w:smallCaps/>
          <w:sz w:val="24"/>
          <w:szCs w:val="24"/>
        </w:rPr>
      </w:pPr>
      <w:r w:rsidRPr="004A00C1">
        <w:rPr>
          <w:rFonts w:ascii="Century Schoolbook" w:hAnsi="Century Schoolbook"/>
          <w:b/>
          <w:smallCaps/>
          <w:sz w:val="24"/>
          <w:szCs w:val="24"/>
        </w:rPr>
        <w:lastRenderedPageBreak/>
        <w:t>CHAPTER 3</w:t>
      </w:r>
    </w:p>
    <w:p w:rsidR="00610156" w:rsidRPr="004A00C1" w:rsidRDefault="00610156" w:rsidP="00610156">
      <w:pPr>
        <w:contextualSpacing/>
        <w:jc w:val="center"/>
        <w:rPr>
          <w:rFonts w:ascii="Century Schoolbook" w:hAnsi="Century Schoolbook"/>
          <w:b/>
          <w:smallCaps/>
          <w:sz w:val="24"/>
          <w:szCs w:val="24"/>
        </w:rPr>
      </w:pPr>
    </w:p>
    <w:p w:rsidR="00610156" w:rsidRPr="004A00C1" w:rsidRDefault="00CA3C6F" w:rsidP="00610156">
      <w:pPr>
        <w:contextualSpacing/>
        <w:jc w:val="center"/>
        <w:rPr>
          <w:rFonts w:ascii="Century Schoolbook" w:hAnsi="Century Schoolbook"/>
          <w:b/>
          <w:smallCaps/>
          <w:sz w:val="24"/>
          <w:szCs w:val="24"/>
        </w:rPr>
      </w:pPr>
      <w:r w:rsidRPr="004A00C1">
        <w:rPr>
          <w:rFonts w:ascii="Century Schoolbook" w:hAnsi="Century Schoolbook"/>
          <w:b/>
          <w:smallCaps/>
          <w:sz w:val="24"/>
          <w:szCs w:val="24"/>
        </w:rPr>
        <w:t xml:space="preserve"> LEAD COUNSEL DUTIES </w:t>
      </w:r>
    </w:p>
    <w:p w:rsidR="00610156" w:rsidRPr="00573FA5" w:rsidRDefault="00610156" w:rsidP="00610156">
      <w:pPr>
        <w:contextualSpacing/>
        <w:jc w:val="center"/>
        <w:rPr>
          <w:rFonts w:ascii="Century Schoolbook" w:hAnsi="Century Schoolbook"/>
          <w:sz w:val="24"/>
          <w:szCs w:val="24"/>
        </w:rPr>
      </w:pPr>
    </w:p>
    <w:p w:rsidR="00610156" w:rsidRPr="00573FA5" w:rsidRDefault="00CA3C6F" w:rsidP="00610156">
      <w:pPr>
        <w:ind w:firstLine="720"/>
        <w:contextualSpacing/>
        <w:rPr>
          <w:rFonts w:ascii="Century Schoolbook" w:hAnsi="Century Schoolbook"/>
          <w:color w:val="000000"/>
          <w:sz w:val="24"/>
          <w:szCs w:val="24"/>
        </w:rPr>
      </w:pPr>
      <w:r w:rsidRPr="00573FA5">
        <w:rPr>
          <w:rFonts w:ascii="Century Schoolbook" w:hAnsi="Century Schoolbook"/>
          <w:color w:val="000000"/>
          <w:sz w:val="24"/>
          <w:szCs w:val="24"/>
        </w:rPr>
        <w:t xml:space="preserve">A court </w:t>
      </w:r>
      <w:r>
        <w:rPr>
          <w:rFonts w:ascii="Century Schoolbook" w:hAnsi="Century Schoolbook"/>
          <w:color w:val="000000"/>
          <w:sz w:val="24"/>
          <w:szCs w:val="24"/>
        </w:rPr>
        <w:t>should</w:t>
      </w:r>
      <w:r w:rsidRPr="00573FA5">
        <w:rPr>
          <w:rFonts w:ascii="Century Schoolbook" w:hAnsi="Century Schoolbook"/>
          <w:color w:val="000000"/>
          <w:sz w:val="24"/>
          <w:szCs w:val="24"/>
        </w:rPr>
        <w:t xml:space="preserve"> appoint lead counsel, liaison counsel, and plaintiffs’ executive or steering committees to perform certain functions on behalf of all plaintiffs in an MDL or other similar complex, coordinated, or consolidated proceeding consistent with </w:t>
      </w:r>
      <w:r w:rsidRPr="00573FA5">
        <w:rPr>
          <w:rFonts w:ascii="Century Schoolbook" w:hAnsi="Century Schoolbook"/>
          <w:i/>
          <w:color w:val="000000"/>
          <w:sz w:val="24"/>
          <w:szCs w:val="24"/>
        </w:rPr>
        <w:t>Best Practice</w:t>
      </w:r>
      <w:r w:rsidRPr="00573FA5">
        <w:rPr>
          <w:rFonts w:ascii="Century Schoolbook" w:hAnsi="Century Schoolbook"/>
          <w:color w:val="000000"/>
          <w:sz w:val="24"/>
          <w:szCs w:val="24"/>
        </w:rPr>
        <w:t xml:space="preserve"> 2D. </w:t>
      </w:r>
      <w:r>
        <w:rPr>
          <w:rFonts w:ascii="Century Schoolbook" w:hAnsi="Century Schoolbook"/>
          <w:color w:val="000000"/>
          <w:sz w:val="24"/>
          <w:szCs w:val="24"/>
        </w:rPr>
        <w:t xml:space="preserve">The court must specify </w:t>
      </w:r>
      <w:r w:rsidRPr="00573FA5">
        <w:rPr>
          <w:rFonts w:ascii="Century Schoolbook" w:hAnsi="Century Schoolbook"/>
          <w:color w:val="000000"/>
          <w:sz w:val="24"/>
          <w:szCs w:val="24"/>
        </w:rPr>
        <w:t xml:space="preserve">the existence, nature, and scope of duties that may be owed by such appointed counsel to plaintiffs in the litigation, including plaintiffs who are counsel’s retained clients. </w:t>
      </w:r>
    </w:p>
    <w:p w:rsidR="00610156" w:rsidRPr="00573FA5" w:rsidRDefault="00610156" w:rsidP="00610156">
      <w:pPr>
        <w:ind w:firstLine="720"/>
        <w:contextualSpacing/>
        <w:jc w:val="both"/>
        <w:rPr>
          <w:rFonts w:ascii="Century Schoolbook" w:hAnsi="Century Schoolbook"/>
          <w:color w:val="000000"/>
          <w:sz w:val="24"/>
          <w:szCs w:val="24"/>
        </w:rPr>
      </w:pPr>
    </w:p>
    <w:p w:rsidR="00610156" w:rsidRPr="00573FA5" w:rsidRDefault="00CA3C6F" w:rsidP="00610156">
      <w:pPr>
        <w:ind w:left="720" w:right="720"/>
        <w:contextualSpacing/>
        <w:jc w:val="both"/>
        <w:rPr>
          <w:rFonts w:ascii="Century Schoolbook" w:hAnsi="Century Schoolbook"/>
          <w:b/>
          <w:color w:val="000000"/>
          <w:sz w:val="24"/>
          <w:szCs w:val="24"/>
        </w:rPr>
      </w:pPr>
      <w:r w:rsidRPr="00573FA5">
        <w:rPr>
          <w:rFonts w:ascii="Century Schoolbook" w:hAnsi="Century Schoolbook"/>
          <w:b/>
          <w:smallCaps/>
          <w:color w:val="000000"/>
          <w:sz w:val="24"/>
          <w:szCs w:val="24"/>
        </w:rPr>
        <w:t>MDL Standard 5</w:t>
      </w:r>
      <w:r w:rsidRPr="00573FA5">
        <w:rPr>
          <w:rFonts w:ascii="Century Schoolbook" w:hAnsi="Century Schoolbook"/>
          <w:b/>
          <w:color w:val="000000"/>
          <w:sz w:val="24"/>
          <w:szCs w:val="24"/>
        </w:rPr>
        <w:t xml:space="preserve">: </w:t>
      </w:r>
      <w:r>
        <w:rPr>
          <w:rFonts w:ascii="Century Schoolbook" w:hAnsi="Century Schoolbook"/>
          <w:color w:val="000000"/>
          <w:sz w:val="24"/>
          <w:szCs w:val="24"/>
        </w:rPr>
        <w:t xml:space="preserve">Plaintiffs’ </w:t>
      </w:r>
      <w:r w:rsidRPr="00573FA5">
        <w:rPr>
          <w:rFonts w:ascii="Century Schoolbook" w:hAnsi="Century Schoolbook"/>
          <w:color w:val="000000"/>
          <w:sz w:val="24"/>
          <w:szCs w:val="24"/>
        </w:rPr>
        <w:t>lead counsel in an MDL does not have a fiduciary relationship with all plaintiffs in the case</w:t>
      </w:r>
      <w:r w:rsidR="00A305FF">
        <w:rPr>
          <w:rFonts w:ascii="Century Schoolbook" w:hAnsi="Century Schoolbook"/>
          <w:color w:val="000000"/>
          <w:sz w:val="24"/>
          <w:szCs w:val="24"/>
        </w:rPr>
        <w:t>, notwithstanding a perception sometimes expressed to the contrary</w:t>
      </w:r>
      <w:r w:rsidRPr="00573FA5">
        <w:rPr>
          <w:rFonts w:ascii="Century Schoolbook" w:hAnsi="Century Schoolbook"/>
          <w:color w:val="000000"/>
          <w:sz w:val="24"/>
          <w:szCs w:val="24"/>
        </w:rPr>
        <w:t>.</w:t>
      </w:r>
    </w:p>
    <w:p w:rsidR="00610156" w:rsidRPr="00573FA5" w:rsidRDefault="00610156" w:rsidP="00610156">
      <w:pPr>
        <w:ind w:left="720" w:right="720"/>
        <w:contextualSpacing/>
        <w:jc w:val="both"/>
        <w:rPr>
          <w:rFonts w:ascii="Century Schoolbook" w:hAnsi="Century Schoolbook"/>
          <w:color w:val="000000"/>
          <w:sz w:val="24"/>
          <w:szCs w:val="24"/>
        </w:rPr>
      </w:pPr>
    </w:p>
    <w:p w:rsidR="00610156" w:rsidRPr="00573FA5" w:rsidRDefault="00CA3C6F" w:rsidP="00610156">
      <w:pPr>
        <w:contextualSpacing/>
        <w:rPr>
          <w:rFonts w:ascii="Century Schoolbook" w:hAnsi="Century Schoolbook"/>
          <w:color w:val="000000"/>
          <w:sz w:val="24"/>
          <w:szCs w:val="24"/>
        </w:rPr>
      </w:pPr>
      <w:r w:rsidRPr="00573FA5">
        <w:rPr>
          <w:rFonts w:ascii="Century Schoolbook" w:hAnsi="Century Schoolbook"/>
          <w:color w:val="000000"/>
          <w:sz w:val="24"/>
          <w:szCs w:val="24"/>
        </w:rPr>
        <w:tab/>
      </w:r>
      <w:r>
        <w:rPr>
          <w:rFonts w:ascii="Century Schoolbook" w:hAnsi="Century Schoolbook"/>
          <w:color w:val="000000"/>
          <w:sz w:val="24"/>
          <w:szCs w:val="24"/>
        </w:rPr>
        <w:t>Despite contrary statements, the better view is that t</w:t>
      </w:r>
      <w:r w:rsidRPr="00573FA5">
        <w:rPr>
          <w:rFonts w:ascii="Century Schoolbook" w:hAnsi="Century Schoolbook"/>
          <w:color w:val="000000"/>
          <w:sz w:val="24"/>
          <w:szCs w:val="24"/>
        </w:rPr>
        <w:t xml:space="preserve">he authority of lead counsel, including liaison counsel and plaintiffs’ executive or steering committees’ members in an MDL, emanates </w:t>
      </w:r>
      <w:r>
        <w:rPr>
          <w:rFonts w:ascii="Century Schoolbook" w:hAnsi="Century Schoolbook"/>
          <w:color w:val="000000"/>
          <w:sz w:val="24"/>
          <w:szCs w:val="24"/>
        </w:rPr>
        <w:t xml:space="preserve">solely </w:t>
      </w:r>
      <w:r w:rsidRPr="00573FA5">
        <w:rPr>
          <w:rFonts w:ascii="Century Schoolbook" w:hAnsi="Century Schoolbook"/>
          <w:color w:val="000000"/>
          <w:sz w:val="24"/>
          <w:szCs w:val="24"/>
        </w:rPr>
        <w:t xml:space="preserve">from the court. </w:t>
      </w:r>
      <w:r>
        <w:rPr>
          <w:rFonts w:ascii="Century Schoolbook" w:hAnsi="Century Schoolbook"/>
          <w:color w:val="000000"/>
          <w:sz w:val="24"/>
          <w:szCs w:val="24"/>
        </w:rPr>
        <w:t xml:space="preserve">MDL leadership appointments are </w:t>
      </w:r>
      <w:r w:rsidRPr="00573FA5">
        <w:rPr>
          <w:rFonts w:ascii="Century Schoolbook" w:hAnsi="Century Schoolbook"/>
          <w:color w:val="000000"/>
          <w:sz w:val="24"/>
          <w:szCs w:val="24"/>
        </w:rPr>
        <w:t xml:space="preserve">distinguished from the typical attorney-client situation, in which the lawyer’s authority arises from a formal retainer agreement between the attorney and the plaintiff. Although </w:t>
      </w:r>
      <w:r>
        <w:rPr>
          <w:rFonts w:ascii="Century Schoolbook" w:hAnsi="Century Schoolbook"/>
          <w:color w:val="000000"/>
          <w:sz w:val="24"/>
          <w:szCs w:val="24"/>
        </w:rPr>
        <w:t xml:space="preserve">reasonable attorney/client agreements may limit </w:t>
      </w:r>
      <w:r w:rsidRPr="00573FA5">
        <w:rPr>
          <w:rFonts w:ascii="Century Schoolbook" w:hAnsi="Century Schoolbook"/>
          <w:color w:val="000000"/>
          <w:sz w:val="24"/>
          <w:szCs w:val="24"/>
        </w:rPr>
        <w:t xml:space="preserve">the scope of the lawyer’s responsibility, it is </w:t>
      </w:r>
      <w:r>
        <w:rPr>
          <w:rFonts w:ascii="Century Schoolbook" w:hAnsi="Century Schoolbook"/>
          <w:color w:val="000000"/>
          <w:sz w:val="24"/>
          <w:szCs w:val="24"/>
        </w:rPr>
        <w:t xml:space="preserve">ordinarily the case </w:t>
      </w:r>
      <w:r w:rsidRPr="00573FA5">
        <w:rPr>
          <w:rFonts w:ascii="Century Schoolbook" w:hAnsi="Century Schoolbook"/>
          <w:color w:val="000000"/>
          <w:sz w:val="24"/>
          <w:szCs w:val="24"/>
        </w:rPr>
        <w:t xml:space="preserve">that the lawyer will undertake any and all actions reasonably necessary to achieve the desired results and objectives of the litigation. </w:t>
      </w:r>
    </w:p>
    <w:p w:rsidR="00610156" w:rsidRPr="00573FA5" w:rsidRDefault="00610156" w:rsidP="00610156">
      <w:pPr>
        <w:contextualSpacing/>
        <w:rPr>
          <w:rFonts w:ascii="Century Schoolbook" w:hAnsi="Century Schoolbook"/>
          <w:color w:val="000000"/>
          <w:sz w:val="24"/>
          <w:szCs w:val="24"/>
        </w:rPr>
      </w:pPr>
    </w:p>
    <w:p w:rsidR="00610156" w:rsidRPr="00573FA5" w:rsidRDefault="00CA3C6F" w:rsidP="00610156">
      <w:pPr>
        <w:ind w:firstLine="720"/>
        <w:contextualSpacing/>
        <w:rPr>
          <w:rFonts w:ascii="Century Schoolbook" w:hAnsi="Century Schoolbook"/>
          <w:color w:val="000000"/>
          <w:sz w:val="24"/>
          <w:szCs w:val="24"/>
        </w:rPr>
      </w:pPr>
      <w:r w:rsidRPr="00573FA5">
        <w:rPr>
          <w:rFonts w:ascii="Century Schoolbook" w:hAnsi="Century Schoolbook"/>
          <w:color w:val="000000"/>
          <w:sz w:val="24"/>
          <w:szCs w:val="24"/>
        </w:rPr>
        <w:t>By contrast, in an MDL court-appointed counsel situation, lead counsel’s authority––and concomitant responsibility––is often defined not in terms of the ultimate goals sought by plaintiffs</w:t>
      </w:r>
      <w:r>
        <w:rPr>
          <w:rFonts w:ascii="Century Schoolbook" w:hAnsi="Century Schoolbook"/>
          <w:color w:val="000000"/>
          <w:sz w:val="24"/>
          <w:szCs w:val="24"/>
        </w:rPr>
        <w:t>,</w:t>
      </w:r>
      <w:r w:rsidRPr="00573FA5">
        <w:rPr>
          <w:rFonts w:ascii="Century Schoolbook" w:hAnsi="Century Schoolbook"/>
          <w:color w:val="000000"/>
          <w:sz w:val="24"/>
          <w:szCs w:val="24"/>
        </w:rPr>
        <w:t xml:space="preserve"> or </w:t>
      </w:r>
      <w:r>
        <w:rPr>
          <w:rFonts w:ascii="Century Schoolbook" w:hAnsi="Century Schoolbook"/>
          <w:color w:val="000000"/>
          <w:sz w:val="24"/>
          <w:szCs w:val="24"/>
        </w:rPr>
        <w:t xml:space="preserve">by </w:t>
      </w:r>
      <w:r w:rsidRPr="00573FA5">
        <w:rPr>
          <w:rFonts w:ascii="Century Schoolbook" w:hAnsi="Century Schoolbook"/>
          <w:color w:val="000000"/>
          <w:sz w:val="24"/>
          <w:szCs w:val="24"/>
        </w:rPr>
        <w:t xml:space="preserve">the law governing attorney-client relationships but </w:t>
      </w:r>
      <w:r>
        <w:rPr>
          <w:rFonts w:ascii="Century Schoolbook" w:hAnsi="Century Schoolbook"/>
          <w:color w:val="000000"/>
          <w:sz w:val="24"/>
          <w:szCs w:val="24"/>
        </w:rPr>
        <w:t xml:space="preserve">only </w:t>
      </w:r>
      <w:r w:rsidRPr="00573FA5">
        <w:rPr>
          <w:rFonts w:ascii="Century Schoolbook" w:hAnsi="Century Schoolbook"/>
          <w:color w:val="000000"/>
          <w:sz w:val="24"/>
          <w:szCs w:val="24"/>
        </w:rPr>
        <w:t xml:space="preserve">in terms of the procedural </w:t>
      </w:r>
      <w:r>
        <w:rPr>
          <w:rFonts w:ascii="Century Schoolbook" w:hAnsi="Century Schoolbook"/>
          <w:color w:val="000000"/>
          <w:sz w:val="24"/>
          <w:szCs w:val="24"/>
        </w:rPr>
        <w:t xml:space="preserve">responsibilities conferred by the MDL </w:t>
      </w:r>
      <w:r w:rsidRPr="00573FA5">
        <w:rPr>
          <w:rFonts w:ascii="Century Schoolbook" w:hAnsi="Century Schoolbook"/>
          <w:color w:val="000000"/>
          <w:sz w:val="24"/>
          <w:szCs w:val="24"/>
        </w:rPr>
        <w:t xml:space="preserve">court. These steps are generally set forth in an appointment order, which describes the services that lead counsel are asked and directed to perform. </w:t>
      </w:r>
    </w:p>
    <w:p w:rsidR="00610156" w:rsidRPr="00573FA5" w:rsidRDefault="00610156" w:rsidP="00610156">
      <w:pPr>
        <w:ind w:firstLine="720"/>
        <w:contextualSpacing/>
        <w:rPr>
          <w:rFonts w:ascii="Century Schoolbook" w:hAnsi="Century Schoolbook"/>
          <w:color w:val="000000"/>
          <w:sz w:val="24"/>
          <w:szCs w:val="24"/>
        </w:rPr>
      </w:pPr>
    </w:p>
    <w:p w:rsidR="00610156" w:rsidRPr="00573FA5" w:rsidRDefault="00CA3C6F" w:rsidP="00610156">
      <w:pPr>
        <w:ind w:left="720" w:right="720"/>
        <w:contextualSpacing/>
        <w:jc w:val="both"/>
        <w:rPr>
          <w:rFonts w:ascii="Century Schoolbook" w:hAnsi="Century Schoolbook"/>
          <w:b/>
          <w:color w:val="000000"/>
          <w:sz w:val="24"/>
          <w:szCs w:val="24"/>
        </w:rPr>
      </w:pPr>
      <w:r w:rsidRPr="00573FA5">
        <w:rPr>
          <w:rFonts w:ascii="Century Schoolbook" w:hAnsi="Century Schoolbook"/>
          <w:b/>
          <w:smallCaps/>
          <w:color w:val="000000"/>
          <w:sz w:val="24"/>
          <w:szCs w:val="24"/>
        </w:rPr>
        <w:t>MDL Standard 6</w:t>
      </w:r>
      <w:r w:rsidRPr="00573FA5">
        <w:rPr>
          <w:rFonts w:ascii="Century Schoolbook" w:hAnsi="Century Schoolbook"/>
          <w:b/>
          <w:color w:val="000000"/>
          <w:sz w:val="24"/>
          <w:szCs w:val="24"/>
        </w:rPr>
        <w:t xml:space="preserve">: </w:t>
      </w:r>
      <w:r w:rsidRPr="00573FA5">
        <w:rPr>
          <w:rFonts w:ascii="Century Schoolbook" w:hAnsi="Century Schoolbook"/>
          <w:color w:val="000000"/>
          <w:sz w:val="24"/>
          <w:szCs w:val="24"/>
        </w:rPr>
        <w:t xml:space="preserve">Lead counsel owes an obligation to the court to comply with all directions set out in the court’s appointment order and must resolve any conflicts with obligations owed to </w:t>
      </w:r>
      <w:r>
        <w:rPr>
          <w:rFonts w:ascii="Century Schoolbook" w:hAnsi="Century Schoolbook"/>
          <w:color w:val="000000"/>
          <w:sz w:val="24"/>
          <w:szCs w:val="24"/>
        </w:rPr>
        <w:t xml:space="preserve">counsel’s </w:t>
      </w:r>
      <w:r w:rsidRPr="00573FA5">
        <w:rPr>
          <w:rFonts w:ascii="Century Schoolbook" w:hAnsi="Century Schoolbook"/>
          <w:color w:val="000000"/>
          <w:sz w:val="24"/>
          <w:szCs w:val="24"/>
        </w:rPr>
        <w:t>retained clients that might otherwise interfere with lead counsel’s ability to carry out the court’s directions.</w:t>
      </w:r>
      <w:r w:rsidRPr="00573FA5">
        <w:rPr>
          <w:rFonts w:ascii="Century Schoolbook" w:hAnsi="Century Schoolbook"/>
          <w:b/>
          <w:color w:val="000000"/>
          <w:sz w:val="24"/>
          <w:szCs w:val="24"/>
        </w:rPr>
        <w:t xml:space="preserve"> </w:t>
      </w:r>
    </w:p>
    <w:p w:rsidR="00610156" w:rsidRPr="00573FA5" w:rsidRDefault="00610156" w:rsidP="00610156">
      <w:pPr>
        <w:ind w:left="720" w:right="720"/>
        <w:contextualSpacing/>
        <w:rPr>
          <w:rFonts w:ascii="Century Schoolbook" w:hAnsi="Century Schoolbook"/>
          <w:color w:val="000000"/>
          <w:sz w:val="24"/>
          <w:szCs w:val="24"/>
        </w:rPr>
      </w:pPr>
    </w:p>
    <w:p w:rsidR="00D66510" w:rsidRDefault="00CA3C6F" w:rsidP="00610156">
      <w:pPr>
        <w:ind w:firstLine="720"/>
        <w:contextualSpacing/>
        <w:rPr>
          <w:rFonts w:ascii="Century Schoolbook" w:hAnsi="Century Schoolbook"/>
          <w:color w:val="000000"/>
          <w:sz w:val="24"/>
          <w:szCs w:val="24"/>
        </w:rPr>
      </w:pPr>
      <w:r>
        <w:rPr>
          <w:rFonts w:ascii="Century Schoolbook" w:hAnsi="Century Schoolbook"/>
          <w:color w:val="000000"/>
          <w:sz w:val="24"/>
          <w:szCs w:val="24"/>
        </w:rPr>
        <w:t>Ultimately</w:t>
      </w:r>
      <w:r w:rsidR="00775EB4">
        <w:rPr>
          <w:rFonts w:ascii="Century Schoolbook" w:hAnsi="Century Schoolbook"/>
          <w:color w:val="000000"/>
          <w:sz w:val="24"/>
          <w:szCs w:val="24"/>
        </w:rPr>
        <w:t>,</w:t>
      </w:r>
      <w:r>
        <w:rPr>
          <w:rFonts w:ascii="Century Schoolbook" w:hAnsi="Century Schoolbook"/>
          <w:color w:val="000000"/>
          <w:sz w:val="24"/>
          <w:szCs w:val="24"/>
        </w:rPr>
        <w:t xml:space="preserve"> </w:t>
      </w:r>
      <w:r w:rsidRPr="00573FA5">
        <w:rPr>
          <w:rFonts w:ascii="Century Schoolbook" w:hAnsi="Century Schoolbook"/>
          <w:color w:val="000000"/>
          <w:sz w:val="24"/>
          <w:szCs w:val="24"/>
        </w:rPr>
        <w:t xml:space="preserve">appointment </w:t>
      </w:r>
      <w:r>
        <w:rPr>
          <w:rFonts w:ascii="Century Schoolbook" w:hAnsi="Century Schoolbook"/>
          <w:color w:val="000000"/>
          <w:sz w:val="24"/>
          <w:szCs w:val="24"/>
        </w:rPr>
        <w:t xml:space="preserve">of lead counsel </w:t>
      </w:r>
      <w:r w:rsidRPr="00573FA5">
        <w:rPr>
          <w:rFonts w:ascii="Century Schoolbook" w:hAnsi="Century Schoolbook"/>
          <w:color w:val="000000"/>
          <w:sz w:val="24"/>
          <w:szCs w:val="24"/>
        </w:rPr>
        <w:t>protect</w:t>
      </w:r>
      <w:r>
        <w:rPr>
          <w:rFonts w:ascii="Century Schoolbook" w:hAnsi="Century Schoolbook"/>
          <w:color w:val="000000"/>
          <w:sz w:val="24"/>
          <w:szCs w:val="24"/>
        </w:rPr>
        <w:t>s</w:t>
      </w:r>
      <w:r w:rsidRPr="00573FA5">
        <w:rPr>
          <w:rFonts w:ascii="Century Schoolbook" w:hAnsi="Century Schoolbook"/>
          <w:color w:val="000000"/>
          <w:sz w:val="24"/>
          <w:szCs w:val="24"/>
        </w:rPr>
        <w:t xml:space="preserve"> the interests of </w:t>
      </w:r>
      <w:r>
        <w:rPr>
          <w:rFonts w:ascii="Century Schoolbook" w:hAnsi="Century Schoolbook"/>
          <w:color w:val="000000"/>
          <w:sz w:val="24"/>
          <w:szCs w:val="24"/>
        </w:rPr>
        <w:t>the MDL</w:t>
      </w:r>
      <w:r w:rsidRPr="00573FA5">
        <w:rPr>
          <w:rFonts w:ascii="Century Schoolbook" w:hAnsi="Century Schoolbook"/>
          <w:color w:val="000000"/>
          <w:sz w:val="24"/>
          <w:szCs w:val="24"/>
        </w:rPr>
        <w:t xml:space="preserve"> plaintiff</w:t>
      </w:r>
      <w:r>
        <w:rPr>
          <w:rFonts w:ascii="Century Schoolbook" w:hAnsi="Century Schoolbook"/>
          <w:color w:val="000000"/>
          <w:sz w:val="24"/>
          <w:szCs w:val="24"/>
        </w:rPr>
        <w:t>s as a whole</w:t>
      </w:r>
      <w:r w:rsidR="00775EB4">
        <w:rPr>
          <w:rFonts w:ascii="Century Schoolbook" w:hAnsi="Century Schoolbook"/>
          <w:color w:val="000000"/>
          <w:sz w:val="24"/>
          <w:szCs w:val="24"/>
        </w:rPr>
        <w:t>. T</w:t>
      </w:r>
      <w:r>
        <w:rPr>
          <w:rFonts w:ascii="Century Schoolbook" w:hAnsi="Century Schoolbook"/>
          <w:color w:val="000000"/>
          <w:sz w:val="24"/>
          <w:szCs w:val="24"/>
        </w:rPr>
        <w:t xml:space="preserve">he </w:t>
      </w:r>
      <w:r w:rsidRPr="00573FA5">
        <w:rPr>
          <w:rFonts w:ascii="Century Schoolbook" w:hAnsi="Century Schoolbook"/>
          <w:color w:val="000000"/>
          <w:sz w:val="24"/>
          <w:szCs w:val="24"/>
        </w:rPr>
        <w:t xml:space="preserve">primary purpose </w:t>
      </w:r>
      <w:r w:rsidR="00775EB4">
        <w:rPr>
          <w:rFonts w:ascii="Century Schoolbook" w:hAnsi="Century Schoolbook"/>
          <w:color w:val="000000"/>
          <w:sz w:val="24"/>
          <w:szCs w:val="24"/>
        </w:rPr>
        <w:t>of counsels’ role</w:t>
      </w:r>
      <w:r w:rsidR="00775EB4" w:rsidRPr="00573FA5">
        <w:rPr>
          <w:rFonts w:ascii="Century Schoolbook" w:hAnsi="Century Schoolbook"/>
          <w:color w:val="000000"/>
          <w:sz w:val="24"/>
          <w:szCs w:val="24"/>
        </w:rPr>
        <w:t xml:space="preserve"> </w:t>
      </w:r>
      <w:r w:rsidRPr="00573FA5">
        <w:rPr>
          <w:rFonts w:ascii="Century Schoolbook" w:hAnsi="Century Schoolbook"/>
          <w:color w:val="000000"/>
          <w:sz w:val="24"/>
          <w:szCs w:val="24"/>
        </w:rPr>
        <w:t xml:space="preserve">is to further the interests of judicial efficiency and economy for the collective benefit of </w:t>
      </w:r>
      <w:r>
        <w:rPr>
          <w:rFonts w:ascii="Century Schoolbook" w:hAnsi="Century Schoolbook"/>
          <w:color w:val="000000"/>
          <w:sz w:val="24"/>
          <w:szCs w:val="24"/>
        </w:rPr>
        <w:t>those involved in the MDL</w:t>
      </w:r>
      <w:r w:rsidRPr="00573FA5">
        <w:rPr>
          <w:rFonts w:ascii="Century Schoolbook" w:hAnsi="Century Schoolbook"/>
          <w:color w:val="000000"/>
          <w:sz w:val="24"/>
          <w:szCs w:val="24"/>
        </w:rPr>
        <w:t>. To the extent that each plaintiff has particular facts</w:t>
      </w:r>
      <w:r>
        <w:rPr>
          <w:rFonts w:ascii="Century Schoolbook" w:hAnsi="Century Schoolbook"/>
          <w:color w:val="000000"/>
          <w:sz w:val="24"/>
          <w:szCs w:val="24"/>
        </w:rPr>
        <w:t xml:space="preserve"> creating divergent </w:t>
      </w:r>
      <w:r w:rsidRPr="00573FA5">
        <w:rPr>
          <w:rFonts w:ascii="Century Schoolbook" w:hAnsi="Century Schoolbook"/>
          <w:color w:val="000000"/>
          <w:sz w:val="24"/>
          <w:szCs w:val="24"/>
        </w:rPr>
        <w:t xml:space="preserve">interests, such plaintiffs are being simultaneously represented by </w:t>
      </w:r>
    </w:p>
    <w:p w:rsidR="00610156" w:rsidRPr="00573FA5" w:rsidRDefault="00CA3C6F" w:rsidP="00D66510">
      <w:pPr>
        <w:contextualSpacing/>
        <w:rPr>
          <w:rFonts w:ascii="Century Schoolbook" w:hAnsi="Century Schoolbook"/>
          <w:color w:val="000000"/>
          <w:sz w:val="24"/>
          <w:szCs w:val="24"/>
        </w:rPr>
      </w:pPr>
      <w:r w:rsidRPr="00573FA5">
        <w:rPr>
          <w:rFonts w:ascii="Century Schoolbook" w:hAnsi="Century Schoolbook"/>
          <w:color w:val="000000"/>
          <w:sz w:val="24"/>
          <w:szCs w:val="24"/>
        </w:rPr>
        <w:t xml:space="preserve">privately-retained counsel, who remain obligated to protect their own clients’ </w:t>
      </w:r>
      <w:r w:rsidRPr="00573FA5">
        <w:rPr>
          <w:rFonts w:ascii="Century Schoolbook" w:hAnsi="Century Schoolbook"/>
          <w:color w:val="000000"/>
          <w:sz w:val="24"/>
          <w:szCs w:val="24"/>
        </w:rPr>
        <w:lastRenderedPageBreak/>
        <w:t>interests</w:t>
      </w:r>
      <w:r>
        <w:rPr>
          <w:rFonts w:ascii="Century Schoolbook" w:hAnsi="Century Schoolbook"/>
          <w:color w:val="000000"/>
          <w:sz w:val="24"/>
          <w:szCs w:val="24"/>
        </w:rPr>
        <w:t>, diverse or not,</w:t>
      </w:r>
      <w:r w:rsidRPr="00573FA5">
        <w:rPr>
          <w:rFonts w:ascii="Century Schoolbook" w:hAnsi="Century Schoolbook"/>
          <w:color w:val="000000"/>
          <w:sz w:val="24"/>
          <w:szCs w:val="24"/>
        </w:rPr>
        <w:t xml:space="preserve"> </w:t>
      </w:r>
      <w:r>
        <w:rPr>
          <w:rFonts w:ascii="Century Schoolbook" w:hAnsi="Century Schoolbook"/>
          <w:color w:val="000000"/>
          <w:sz w:val="24"/>
          <w:szCs w:val="24"/>
        </w:rPr>
        <w:t xml:space="preserve">as </w:t>
      </w:r>
      <w:r w:rsidRPr="00573FA5">
        <w:rPr>
          <w:rFonts w:ascii="Century Schoolbook" w:hAnsi="Century Schoolbook"/>
          <w:color w:val="000000"/>
          <w:sz w:val="24"/>
          <w:szCs w:val="24"/>
        </w:rPr>
        <w:t>in any other case.</w:t>
      </w:r>
      <w:r>
        <w:rPr>
          <w:rStyle w:val="FootnoteReference"/>
          <w:rFonts w:ascii="Century Schoolbook" w:hAnsi="Century Schoolbook"/>
          <w:color w:val="000000"/>
          <w:sz w:val="24"/>
          <w:szCs w:val="24"/>
        </w:rPr>
        <w:footnoteReference w:id="42"/>
      </w:r>
      <w:r w:rsidRPr="00573FA5">
        <w:rPr>
          <w:rFonts w:ascii="Century Schoolbook" w:hAnsi="Century Schoolbook"/>
          <w:color w:val="000000"/>
          <w:sz w:val="24"/>
          <w:szCs w:val="24"/>
        </w:rPr>
        <w:t xml:space="preserve"> </w:t>
      </w:r>
    </w:p>
    <w:p w:rsidR="00610156" w:rsidRPr="00573FA5" w:rsidRDefault="00610156" w:rsidP="00610156">
      <w:pPr>
        <w:ind w:firstLine="720"/>
        <w:contextualSpacing/>
        <w:rPr>
          <w:rFonts w:ascii="Century Schoolbook" w:hAnsi="Century Schoolbook"/>
          <w:color w:val="000000"/>
          <w:sz w:val="24"/>
          <w:szCs w:val="24"/>
        </w:rPr>
      </w:pPr>
    </w:p>
    <w:p w:rsidR="00610156" w:rsidRPr="00573FA5" w:rsidRDefault="00CA3C6F" w:rsidP="00610156">
      <w:pPr>
        <w:ind w:firstLine="720"/>
        <w:contextualSpacing/>
        <w:rPr>
          <w:rFonts w:ascii="Century Schoolbook" w:hAnsi="Century Schoolbook"/>
          <w:color w:val="000000"/>
          <w:sz w:val="24"/>
          <w:szCs w:val="24"/>
        </w:rPr>
      </w:pPr>
      <w:r w:rsidRPr="00573FA5">
        <w:rPr>
          <w:rFonts w:ascii="Century Schoolbook" w:hAnsi="Century Schoolbook"/>
          <w:color w:val="000000"/>
          <w:sz w:val="24"/>
          <w:szCs w:val="24"/>
        </w:rPr>
        <w:t xml:space="preserve">Therefore, to the extent that lead counsel </w:t>
      </w:r>
      <w:r>
        <w:rPr>
          <w:rFonts w:ascii="Century Schoolbook" w:hAnsi="Century Schoolbook"/>
          <w:color w:val="000000"/>
          <w:sz w:val="24"/>
          <w:szCs w:val="24"/>
        </w:rPr>
        <w:t>owes</w:t>
      </w:r>
      <w:r w:rsidRPr="00573FA5">
        <w:rPr>
          <w:rFonts w:ascii="Century Schoolbook" w:hAnsi="Century Schoolbook"/>
          <w:color w:val="000000"/>
          <w:sz w:val="24"/>
          <w:szCs w:val="24"/>
        </w:rPr>
        <w:t xml:space="preserve"> a duty or other obligation to plaintiffs whom they do not formally represent, such duties are: (1) limited to the specific actions that lead counsel is </w:t>
      </w:r>
      <w:r>
        <w:rPr>
          <w:rFonts w:ascii="Century Schoolbook" w:hAnsi="Century Schoolbook"/>
          <w:color w:val="000000"/>
          <w:sz w:val="24"/>
          <w:szCs w:val="24"/>
        </w:rPr>
        <w:t xml:space="preserve">court </w:t>
      </w:r>
      <w:r w:rsidRPr="00573FA5">
        <w:rPr>
          <w:rFonts w:ascii="Century Schoolbook" w:hAnsi="Century Schoolbook"/>
          <w:color w:val="000000"/>
          <w:sz w:val="24"/>
          <w:szCs w:val="24"/>
        </w:rPr>
        <w:t>appointed and authorized to undertake; and (2) owed, not to any one individual plaintiff, but to the common and collective interests of the plaintiffs as a whole.</w:t>
      </w:r>
    </w:p>
    <w:p w:rsidR="00610156" w:rsidRPr="00573FA5" w:rsidRDefault="00610156" w:rsidP="00610156">
      <w:pPr>
        <w:ind w:firstLine="720"/>
        <w:contextualSpacing/>
        <w:rPr>
          <w:rFonts w:ascii="Century Schoolbook" w:hAnsi="Century Schoolbook"/>
          <w:color w:val="000000"/>
          <w:sz w:val="24"/>
          <w:szCs w:val="24"/>
        </w:rPr>
      </w:pPr>
    </w:p>
    <w:p w:rsidR="00610156" w:rsidRPr="00573FA5" w:rsidRDefault="00CA3C6F" w:rsidP="00610156">
      <w:pPr>
        <w:ind w:left="720" w:right="720"/>
        <w:contextualSpacing/>
        <w:jc w:val="both"/>
        <w:rPr>
          <w:rFonts w:ascii="Century Schoolbook" w:hAnsi="Century Schoolbook"/>
          <w:i/>
          <w:color w:val="000000"/>
          <w:sz w:val="24"/>
          <w:szCs w:val="24"/>
        </w:rPr>
      </w:pPr>
      <w:r w:rsidRPr="00573FA5">
        <w:rPr>
          <w:rFonts w:ascii="Century Schoolbook" w:hAnsi="Century Schoolbook"/>
          <w:smallCaps/>
          <w:color w:val="000000"/>
          <w:sz w:val="24"/>
          <w:szCs w:val="24"/>
        </w:rPr>
        <w:t>Best Practice 6A</w:t>
      </w:r>
      <w:r w:rsidRPr="00573FA5">
        <w:rPr>
          <w:rFonts w:ascii="Century Schoolbook" w:hAnsi="Century Schoolbook"/>
          <w:color w:val="000000"/>
          <w:sz w:val="24"/>
          <w:szCs w:val="24"/>
        </w:rPr>
        <w:t>: The court should delineate in its appointment order the responsibilities of lead counsel in sufficient detail for counsel to advise individually-retained clients of the duty owed to the court, which is superior to any duty owed to the individually-retained client.</w:t>
      </w:r>
      <w:r w:rsidRPr="00573FA5">
        <w:rPr>
          <w:rFonts w:ascii="Century Schoolbook" w:hAnsi="Century Schoolbook"/>
          <w:i/>
          <w:color w:val="000000"/>
          <w:sz w:val="24"/>
          <w:szCs w:val="24"/>
        </w:rPr>
        <w:t xml:space="preserve"> </w:t>
      </w:r>
    </w:p>
    <w:p w:rsidR="00610156" w:rsidRPr="00573FA5" w:rsidRDefault="00610156" w:rsidP="00610156">
      <w:pPr>
        <w:ind w:left="720" w:right="720"/>
        <w:contextualSpacing/>
        <w:rPr>
          <w:rFonts w:ascii="Century Schoolbook" w:hAnsi="Century Schoolbook"/>
          <w:i/>
          <w:color w:val="000000"/>
          <w:sz w:val="24"/>
          <w:szCs w:val="24"/>
        </w:rPr>
      </w:pPr>
    </w:p>
    <w:p w:rsidR="00610156" w:rsidRPr="00573FA5" w:rsidRDefault="00CA3C6F" w:rsidP="00610156">
      <w:pPr>
        <w:ind w:firstLine="720"/>
        <w:contextualSpacing/>
        <w:rPr>
          <w:rFonts w:ascii="Century Schoolbook" w:hAnsi="Century Schoolbook"/>
          <w:color w:val="000000"/>
          <w:sz w:val="24"/>
          <w:szCs w:val="24"/>
        </w:rPr>
      </w:pPr>
      <w:r w:rsidRPr="00573FA5">
        <w:rPr>
          <w:rFonts w:ascii="Century Schoolbook" w:hAnsi="Century Schoolbook"/>
          <w:color w:val="000000"/>
          <w:sz w:val="24"/>
          <w:szCs w:val="24"/>
        </w:rPr>
        <w:t xml:space="preserve">Appointed counsel can play various roles, including “lead counsel,” “liaison counsel,” “plaintiff steering committee member,” and “plaintiff’s executive committee member.” Each position has different responsibilities, which may impact the rights of individual plaintiff clients of the lead counsel in the MDL. </w:t>
      </w:r>
    </w:p>
    <w:p w:rsidR="00610156" w:rsidRPr="00573FA5" w:rsidRDefault="00610156" w:rsidP="00610156">
      <w:pPr>
        <w:ind w:firstLine="720"/>
        <w:contextualSpacing/>
        <w:rPr>
          <w:rFonts w:ascii="Century Schoolbook" w:hAnsi="Century Schoolbook"/>
          <w:color w:val="000000"/>
          <w:sz w:val="24"/>
          <w:szCs w:val="24"/>
        </w:rPr>
      </w:pPr>
    </w:p>
    <w:p w:rsidR="00610156" w:rsidRPr="00573FA5" w:rsidRDefault="00CA3C6F" w:rsidP="00610156">
      <w:pPr>
        <w:ind w:firstLine="720"/>
        <w:contextualSpacing/>
        <w:rPr>
          <w:rFonts w:ascii="Century Schoolbook" w:hAnsi="Century Schoolbook"/>
          <w:color w:val="000000"/>
          <w:sz w:val="24"/>
          <w:szCs w:val="24"/>
        </w:rPr>
      </w:pPr>
      <w:r w:rsidRPr="00573FA5">
        <w:rPr>
          <w:rFonts w:ascii="Century Schoolbook" w:hAnsi="Century Schoolbook"/>
          <w:color w:val="000000"/>
          <w:sz w:val="24"/>
          <w:szCs w:val="24"/>
        </w:rPr>
        <w:t xml:space="preserve">In accepting appointment, lead counsel assumes the responsibility to address and </w:t>
      </w:r>
      <w:r>
        <w:rPr>
          <w:rFonts w:ascii="Century Schoolbook" w:hAnsi="Century Schoolbook"/>
          <w:color w:val="000000"/>
          <w:sz w:val="24"/>
          <w:szCs w:val="24"/>
        </w:rPr>
        <w:t xml:space="preserve">resolve </w:t>
      </w:r>
      <w:r w:rsidRPr="00573FA5">
        <w:rPr>
          <w:rFonts w:ascii="Century Schoolbook" w:hAnsi="Century Schoolbook"/>
          <w:color w:val="000000"/>
          <w:sz w:val="24"/>
          <w:szCs w:val="24"/>
        </w:rPr>
        <w:t xml:space="preserve">any potential conflicts with </w:t>
      </w:r>
      <w:r>
        <w:rPr>
          <w:rFonts w:ascii="Century Schoolbook" w:hAnsi="Century Schoolbook"/>
          <w:color w:val="000000"/>
          <w:sz w:val="24"/>
          <w:szCs w:val="24"/>
        </w:rPr>
        <w:t xml:space="preserve">their </w:t>
      </w:r>
      <w:r w:rsidRPr="00573FA5">
        <w:rPr>
          <w:rFonts w:ascii="Century Schoolbook" w:hAnsi="Century Schoolbook"/>
          <w:color w:val="000000"/>
          <w:sz w:val="24"/>
          <w:szCs w:val="24"/>
        </w:rPr>
        <w:t xml:space="preserve">individually-retained clients. </w:t>
      </w:r>
      <w:r>
        <w:rPr>
          <w:rFonts w:ascii="Century Schoolbook" w:hAnsi="Century Schoolbook"/>
          <w:color w:val="000000"/>
          <w:sz w:val="24"/>
          <w:szCs w:val="24"/>
        </w:rPr>
        <w:t>L</w:t>
      </w:r>
      <w:r w:rsidRPr="00573FA5">
        <w:rPr>
          <w:rFonts w:ascii="Century Schoolbook" w:hAnsi="Century Schoolbook"/>
          <w:color w:val="000000"/>
          <w:sz w:val="24"/>
          <w:szCs w:val="24"/>
        </w:rPr>
        <w:t xml:space="preserve">ead counsel must meaningfully disclose to their clients </w:t>
      </w:r>
      <w:r>
        <w:rPr>
          <w:rFonts w:ascii="Century Schoolbook" w:hAnsi="Century Schoolbook"/>
          <w:color w:val="000000"/>
          <w:sz w:val="24"/>
          <w:szCs w:val="24"/>
        </w:rPr>
        <w:t xml:space="preserve">how </w:t>
      </w:r>
      <w:r w:rsidRPr="00573FA5">
        <w:rPr>
          <w:rFonts w:ascii="Century Schoolbook" w:hAnsi="Century Schoolbook"/>
          <w:color w:val="000000"/>
          <w:sz w:val="24"/>
          <w:szCs w:val="24"/>
        </w:rPr>
        <w:t xml:space="preserve">their appointment as lead counsel </w:t>
      </w:r>
      <w:r>
        <w:rPr>
          <w:rFonts w:ascii="Century Schoolbook" w:hAnsi="Century Schoolbook"/>
          <w:color w:val="000000"/>
          <w:sz w:val="24"/>
          <w:szCs w:val="24"/>
        </w:rPr>
        <w:t xml:space="preserve">will impact </w:t>
      </w:r>
      <w:r w:rsidRPr="00573FA5">
        <w:rPr>
          <w:rFonts w:ascii="Century Schoolbook" w:hAnsi="Century Schoolbook"/>
          <w:color w:val="000000"/>
          <w:sz w:val="24"/>
          <w:szCs w:val="24"/>
        </w:rPr>
        <w:t xml:space="preserve">the clients’ interests. Because decisions of lead counsel take priority over the interests of an individual client, it is </w:t>
      </w:r>
      <w:r>
        <w:rPr>
          <w:rFonts w:ascii="Century Schoolbook" w:hAnsi="Century Schoolbook"/>
          <w:color w:val="000000"/>
          <w:sz w:val="24"/>
          <w:szCs w:val="24"/>
        </w:rPr>
        <w:t>essential</w:t>
      </w:r>
      <w:r w:rsidRPr="00573FA5">
        <w:rPr>
          <w:rFonts w:ascii="Century Schoolbook" w:hAnsi="Century Schoolbook"/>
          <w:color w:val="000000"/>
          <w:sz w:val="24"/>
          <w:szCs w:val="24"/>
        </w:rPr>
        <w:t xml:space="preserve"> that the court’s appointment order fully inform counsel of what the court expects of counsel so that counsel can advise their clients of potential issues consistent with </w:t>
      </w:r>
      <w:r w:rsidRPr="00573FA5">
        <w:rPr>
          <w:rFonts w:ascii="Century Schoolbook" w:hAnsi="Century Schoolbook"/>
          <w:smallCaps/>
          <w:color w:val="000000"/>
          <w:sz w:val="24"/>
          <w:szCs w:val="24"/>
        </w:rPr>
        <w:t>Best Practice 2C</w:t>
      </w:r>
      <w:r w:rsidRPr="00573FA5">
        <w:rPr>
          <w:rFonts w:ascii="Century Schoolbook" w:hAnsi="Century Schoolbook"/>
          <w:color w:val="000000"/>
          <w:sz w:val="24"/>
          <w:szCs w:val="24"/>
        </w:rPr>
        <w:t>(ii</w:t>
      </w:r>
      <w:r w:rsidRPr="00573FA5">
        <w:rPr>
          <w:rFonts w:ascii="Century Schoolbook" w:hAnsi="Century Schoolbook"/>
          <w:smallCaps/>
          <w:color w:val="000000"/>
          <w:sz w:val="24"/>
          <w:szCs w:val="24"/>
        </w:rPr>
        <w:t>).</w:t>
      </w:r>
      <w:r w:rsidRPr="00573FA5">
        <w:rPr>
          <w:rFonts w:ascii="Century Schoolbook" w:hAnsi="Century Schoolbook"/>
          <w:color w:val="000000"/>
          <w:sz w:val="24"/>
          <w:szCs w:val="24"/>
        </w:rPr>
        <w:t xml:space="preserve"> </w:t>
      </w:r>
    </w:p>
    <w:p w:rsidR="00610156" w:rsidRPr="00573FA5" w:rsidRDefault="00610156" w:rsidP="00610156">
      <w:pPr>
        <w:ind w:firstLine="720"/>
        <w:contextualSpacing/>
        <w:rPr>
          <w:rFonts w:ascii="Century Schoolbook" w:hAnsi="Century Schoolbook"/>
          <w:color w:val="000000"/>
          <w:sz w:val="24"/>
          <w:szCs w:val="24"/>
        </w:rPr>
      </w:pPr>
    </w:p>
    <w:p w:rsidR="00610156" w:rsidRDefault="00CA3C6F" w:rsidP="00610156">
      <w:pPr>
        <w:ind w:firstLine="720"/>
        <w:contextualSpacing/>
        <w:rPr>
          <w:rFonts w:ascii="Century Schoolbook" w:hAnsi="Century Schoolbook"/>
          <w:color w:val="000000"/>
          <w:sz w:val="24"/>
          <w:szCs w:val="24"/>
        </w:rPr>
      </w:pPr>
      <w:r>
        <w:rPr>
          <w:rFonts w:ascii="Century Schoolbook" w:hAnsi="Century Schoolbook"/>
          <w:color w:val="000000"/>
          <w:sz w:val="24"/>
          <w:szCs w:val="24"/>
        </w:rPr>
        <w:t>A</w:t>
      </w:r>
      <w:r w:rsidRPr="00573FA5">
        <w:rPr>
          <w:rFonts w:ascii="Century Schoolbook" w:hAnsi="Century Schoolbook"/>
          <w:color w:val="000000"/>
          <w:sz w:val="24"/>
          <w:szCs w:val="24"/>
        </w:rPr>
        <w:t xml:space="preserve"> lawyer’s appointment as lead counsel does not excuse any conflict of interest </w:t>
      </w:r>
      <w:r>
        <w:rPr>
          <w:rFonts w:ascii="Century Schoolbook" w:hAnsi="Century Schoolbook"/>
          <w:color w:val="000000"/>
          <w:sz w:val="24"/>
          <w:szCs w:val="24"/>
        </w:rPr>
        <w:t xml:space="preserve">as to his or her own clients </w:t>
      </w:r>
      <w:r w:rsidRPr="00573FA5">
        <w:rPr>
          <w:rFonts w:ascii="Century Schoolbook" w:hAnsi="Century Schoolbook"/>
          <w:color w:val="000000"/>
          <w:sz w:val="24"/>
          <w:szCs w:val="24"/>
        </w:rPr>
        <w:t>that would otherwise be impermissible or noncomplian</w:t>
      </w:r>
      <w:r>
        <w:rPr>
          <w:rFonts w:ascii="Century Schoolbook" w:hAnsi="Century Schoolbook"/>
          <w:color w:val="000000"/>
          <w:sz w:val="24"/>
          <w:szCs w:val="24"/>
        </w:rPr>
        <w:t>t</w:t>
      </w:r>
      <w:r w:rsidRPr="00573FA5">
        <w:rPr>
          <w:rFonts w:ascii="Century Schoolbook" w:hAnsi="Century Schoolbook"/>
          <w:color w:val="000000"/>
          <w:sz w:val="24"/>
          <w:szCs w:val="24"/>
        </w:rPr>
        <w:t xml:space="preserve"> with the relevant rules of professional conduct and legal obligations of attorneys to their clients. Lead counsel is responsible for ensuring that obligations to the court under the appointment order can be simultaneously discharged with obligations to individually-retained clients. </w:t>
      </w:r>
    </w:p>
    <w:p w:rsidR="00F2448D" w:rsidRDefault="00F2448D" w:rsidP="00610156">
      <w:pPr>
        <w:ind w:firstLine="720"/>
        <w:contextualSpacing/>
        <w:rPr>
          <w:rFonts w:ascii="Century Schoolbook" w:hAnsi="Century Schoolbook"/>
          <w:color w:val="000000"/>
          <w:sz w:val="24"/>
          <w:szCs w:val="24"/>
        </w:rPr>
      </w:pPr>
    </w:p>
    <w:p w:rsidR="00F2448D" w:rsidRDefault="00F2448D" w:rsidP="00610156">
      <w:pPr>
        <w:ind w:firstLine="720"/>
        <w:contextualSpacing/>
        <w:rPr>
          <w:rFonts w:ascii="Century Schoolbook" w:hAnsi="Century Schoolbook"/>
          <w:color w:val="000000"/>
          <w:sz w:val="24"/>
          <w:szCs w:val="24"/>
        </w:rPr>
      </w:pPr>
    </w:p>
    <w:p w:rsidR="00F2448D" w:rsidRDefault="00F2448D" w:rsidP="00610156">
      <w:pPr>
        <w:ind w:firstLine="720"/>
        <w:contextualSpacing/>
        <w:rPr>
          <w:rFonts w:ascii="Century Schoolbook" w:hAnsi="Century Schoolbook"/>
          <w:color w:val="000000"/>
          <w:sz w:val="24"/>
          <w:szCs w:val="24"/>
        </w:rPr>
      </w:pPr>
    </w:p>
    <w:p w:rsidR="00F2448D" w:rsidRPr="00573FA5" w:rsidRDefault="00F2448D" w:rsidP="00610156">
      <w:pPr>
        <w:ind w:firstLine="720"/>
        <w:contextualSpacing/>
        <w:rPr>
          <w:rFonts w:ascii="Century Schoolbook" w:hAnsi="Century Schoolbook"/>
          <w:color w:val="000000"/>
          <w:sz w:val="24"/>
          <w:szCs w:val="24"/>
        </w:rPr>
      </w:pPr>
    </w:p>
    <w:p w:rsidR="00610156" w:rsidRPr="00573FA5" w:rsidRDefault="00610156" w:rsidP="00610156">
      <w:pPr>
        <w:ind w:firstLine="720"/>
        <w:contextualSpacing/>
        <w:rPr>
          <w:rFonts w:ascii="Century Schoolbook" w:hAnsi="Century Schoolbook"/>
          <w:color w:val="000000"/>
          <w:sz w:val="24"/>
          <w:szCs w:val="24"/>
        </w:rPr>
      </w:pPr>
    </w:p>
    <w:p w:rsidR="00610156" w:rsidRPr="00573FA5" w:rsidRDefault="00CA3C6F" w:rsidP="00610156">
      <w:pPr>
        <w:ind w:left="720" w:right="720"/>
        <w:contextualSpacing/>
        <w:jc w:val="both"/>
        <w:rPr>
          <w:rFonts w:ascii="Century Schoolbook" w:hAnsi="Century Schoolbook"/>
          <w:i/>
          <w:color w:val="000000"/>
          <w:sz w:val="24"/>
          <w:szCs w:val="24"/>
        </w:rPr>
      </w:pPr>
      <w:r w:rsidRPr="00573FA5">
        <w:rPr>
          <w:rFonts w:ascii="Century Schoolbook" w:hAnsi="Century Schoolbook"/>
          <w:smallCaps/>
          <w:color w:val="000000"/>
          <w:sz w:val="24"/>
          <w:szCs w:val="24"/>
        </w:rPr>
        <w:lastRenderedPageBreak/>
        <w:t>Best Practice 6B</w:t>
      </w:r>
      <w:r w:rsidRPr="00573FA5">
        <w:rPr>
          <w:rFonts w:ascii="Century Schoolbook" w:hAnsi="Century Schoolbook"/>
          <w:color w:val="000000"/>
          <w:sz w:val="24"/>
          <w:szCs w:val="24"/>
        </w:rPr>
        <w:t xml:space="preserve">: Lead counsel has a duty to perform functions affecting all plaintiffs in an MDL in a fair, honest, competent, reasonable, and responsible way. </w:t>
      </w:r>
    </w:p>
    <w:p w:rsidR="00610156" w:rsidRPr="00573FA5" w:rsidRDefault="00610156" w:rsidP="00610156">
      <w:pPr>
        <w:ind w:left="720" w:right="720"/>
        <w:contextualSpacing/>
        <w:rPr>
          <w:rFonts w:ascii="Century Schoolbook" w:hAnsi="Century Schoolbook"/>
          <w:i/>
          <w:color w:val="000000"/>
          <w:sz w:val="24"/>
          <w:szCs w:val="24"/>
        </w:rPr>
      </w:pPr>
    </w:p>
    <w:p w:rsidR="00610156" w:rsidRPr="00573FA5" w:rsidRDefault="00CA3C6F" w:rsidP="00610156">
      <w:pPr>
        <w:ind w:firstLine="720"/>
        <w:contextualSpacing/>
        <w:rPr>
          <w:rFonts w:ascii="Century Schoolbook" w:hAnsi="Century Schoolbook"/>
          <w:color w:val="000000"/>
          <w:sz w:val="24"/>
          <w:szCs w:val="24"/>
        </w:rPr>
      </w:pPr>
      <w:r w:rsidRPr="00573FA5">
        <w:rPr>
          <w:rFonts w:ascii="Century Schoolbook" w:hAnsi="Century Schoolbook"/>
          <w:color w:val="000000"/>
          <w:sz w:val="24"/>
          <w:szCs w:val="24"/>
        </w:rPr>
        <w:t xml:space="preserve">Lead counsel has a duty to perform appointed functions in a fair, honest, competent, reasonable, and responsible way, but there is no “fiduciary” relationship with all plaintiffs in the traditional sense. </w:t>
      </w:r>
      <w:r>
        <w:rPr>
          <w:rFonts w:ascii="Century Schoolbook" w:hAnsi="Century Schoolbook"/>
          <w:color w:val="000000"/>
          <w:sz w:val="24"/>
          <w:szCs w:val="24"/>
        </w:rPr>
        <w:t>T</w:t>
      </w:r>
      <w:r w:rsidRPr="00573FA5">
        <w:rPr>
          <w:rFonts w:ascii="Century Schoolbook" w:hAnsi="Century Schoolbook"/>
          <w:color w:val="000000"/>
          <w:sz w:val="24"/>
          <w:szCs w:val="24"/>
        </w:rPr>
        <w:t xml:space="preserve">he origin and nature of the relationship between lead counsel and MDL plaintiffs </w:t>
      </w:r>
      <w:r>
        <w:rPr>
          <w:rFonts w:ascii="Century Schoolbook" w:hAnsi="Century Schoolbook"/>
          <w:color w:val="000000"/>
          <w:sz w:val="24"/>
          <w:szCs w:val="24"/>
        </w:rPr>
        <w:t xml:space="preserve">is judicially created, and thus </w:t>
      </w:r>
      <w:r w:rsidRPr="00573FA5">
        <w:rPr>
          <w:rFonts w:ascii="Century Schoolbook" w:hAnsi="Century Schoolbook"/>
          <w:color w:val="000000"/>
          <w:sz w:val="24"/>
          <w:szCs w:val="24"/>
        </w:rPr>
        <w:t xml:space="preserve">differs in significant respects from common-law fiduciary relationships of agency or trust. </w:t>
      </w:r>
      <w:r>
        <w:rPr>
          <w:rFonts w:ascii="Century Schoolbook" w:hAnsi="Century Schoolbook"/>
          <w:color w:val="000000"/>
          <w:sz w:val="24"/>
          <w:szCs w:val="24"/>
        </w:rPr>
        <w:t>I</w:t>
      </w:r>
      <w:r w:rsidRPr="00573FA5">
        <w:rPr>
          <w:rFonts w:ascii="Century Schoolbook" w:hAnsi="Century Schoolbook"/>
          <w:color w:val="000000"/>
          <w:sz w:val="24"/>
          <w:szCs w:val="24"/>
        </w:rPr>
        <w:t xml:space="preserve">mposition of strict fiduciary standards to an </w:t>
      </w:r>
      <w:r>
        <w:rPr>
          <w:rFonts w:ascii="Century Schoolbook" w:hAnsi="Century Schoolbook"/>
          <w:color w:val="000000"/>
          <w:sz w:val="24"/>
          <w:szCs w:val="24"/>
        </w:rPr>
        <w:t xml:space="preserve">entire </w:t>
      </w:r>
      <w:r w:rsidRPr="00573FA5">
        <w:rPr>
          <w:rFonts w:ascii="Century Schoolbook" w:hAnsi="Century Schoolbook"/>
          <w:color w:val="000000"/>
          <w:sz w:val="24"/>
          <w:szCs w:val="24"/>
        </w:rPr>
        <w:t xml:space="preserve">MDL would be extremely burdensome for lead counsel and the court to adhere to and enforce. </w:t>
      </w:r>
    </w:p>
    <w:p w:rsidR="00610156" w:rsidRPr="00573FA5" w:rsidRDefault="00610156" w:rsidP="00610156">
      <w:pPr>
        <w:ind w:firstLine="720"/>
        <w:contextualSpacing/>
        <w:rPr>
          <w:rFonts w:ascii="Century Schoolbook" w:hAnsi="Century Schoolbook"/>
          <w:color w:val="000000"/>
          <w:sz w:val="24"/>
          <w:szCs w:val="24"/>
        </w:rPr>
      </w:pPr>
    </w:p>
    <w:p w:rsidR="00610156" w:rsidRPr="00573FA5" w:rsidRDefault="00CA3C6F" w:rsidP="00610156">
      <w:pPr>
        <w:ind w:firstLine="720"/>
        <w:contextualSpacing/>
        <w:rPr>
          <w:rFonts w:ascii="Century Schoolbook" w:hAnsi="Century Schoolbook"/>
          <w:color w:val="000000"/>
          <w:sz w:val="24"/>
          <w:szCs w:val="24"/>
        </w:rPr>
      </w:pPr>
      <w:r w:rsidRPr="00573FA5">
        <w:rPr>
          <w:rFonts w:ascii="Century Schoolbook" w:hAnsi="Century Schoolbook"/>
          <w:color w:val="000000"/>
          <w:sz w:val="24"/>
          <w:szCs w:val="24"/>
        </w:rPr>
        <w:t>Under the common law, an agency relationship is generally consensual</w:t>
      </w:r>
      <w:r>
        <w:rPr>
          <w:rFonts w:ascii="Century Schoolbook" w:hAnsi="Century Schoolbook"/>
          <w:color w:val="000000"/>
          <w:sz w:val="24"/>
          <w:szCs w:val="24"/>
        </w:rPr>
        <w:t xml:space="preserve">, whereby </w:t>
      </w:r>
      <w:r w:rsidRPr="00573FA5">
        <w:rPr>
          <w:rFonts w:ascii="Century Schoolbook" w:hAnsi="Century Schoolbook"/>
          <w:color w:val="000000"/>
          <w:sz w:val="24"/>
          <w:szCs w:val="24"/>
        </w:rPr>
        <w:t xml:space="preserve">the principal retains the right to direct and control the agent’s actions, as well as power to terminate the agency. </w:t>
      </w:r>
      <w:r>
        <w:rPr>
          <w:rFonts w:ascii="Century Schoolbook" w:hAnsi="Century Schoolbook"/>
          <w:color w:val="000000"/>
          <w:sz w:val="24"/>
          <w:szCs w:val="24"/>
        </w:rPr>
        <w:t>A</w:t>
      </w:r>
      <w:r w:rsidRPr="00573FA5">
        <w:rPr>
          <w:rFonts w:ascii="Century Schoolbook" w:hAnsi="Century Schoolbook"/>
          <w:color w:val="000000"/>
          <w:sz w:val="24"/>
          <w:szCs w:val="24"/>
        </w:rPr>
        <w:t>n MDL</w:t>
      </w:r>
      <w:r>
        <w:rPr>
          <w:rFonts w:ascii="Century Schoolbook" w:hAnsi="Century Schoolbook"/>
          <w:color w:val="000000"/>
          <w:sz w:val="24"/>
          <w:szCs w:val="24"/>
        </w:rPr>
        <w:t xml:space="preserve"> does not possess </w:t>
      </w:r>
      <w:r w:rsidRPr="00573FA5">
        <w:rPr>
          <w:rFonts w:ascii="Century Schoolbook" w:hAnsi="Century Schoolbook"/>
          <w:color w:val="000000"/>
          <w:sz w:val="24"/>
          <w:szCs w:val="24"/>
        </w:rPr>
        <w:t xml:space="preserve">these hallmarks of traditional agency. Except for lead counsel’s individually-retained clients, no underlying offer and acceptance of power of attorney or agency </w:t>
      </w:r>
      <w:r>
        <w:rPr>
          <w:rFonts w:ascii="Century Schoolbook" w:hAnsi="Century Schoolbook"/>
          <w:color w:val="000000"/>
          <w:sz w:val="24"/>
          <w:szCs w:val="24"/>
        </w:rPr>
        <w:t xml:space="preserve">exists </w:t>
      </w:r>
      <w:r w:rsidRPr="00573FA5">
        <w:rPr>
          <w:rFonts w:ascii="Century Schoolbook" w:hAnsi="Century Schoolbook"/>
          <w:color w:val="000000"/>
          <w:sz w:val="24"/>
          <w:szCs w:val="24"/>
        </w:rPr>
        <w:t xml:space="preserve">between such appointed counsel and </w:t>
      </w:r>
      <w:r>
        <w:rPr>
          <w:rFonts w:ascii="Century Schoolbook" w:hAnsi="Century Schoolbook"/>
          <w:color w:val="000000"/>
          <w:sz w:val="24"/>
          <w:szCs w:val="24"/>
        </w:rPr>
        <w:t xml:space="preserve">other MDL </w:t>
      </w:r>
      <w:r w:rsidRPr="00573FA5">
        <w:rPr>
          <w:rFonts w:ascii="Century Schoolbook" w:hAnsi="Century Schoolbook"/>
          <w:color w:val="000000"/>
          <w:sz w:val="24"/>
          <w:szCs w:val="24"/>
        </w:rPr>
        <w:t xml:space="preserve">plaintiffs. </w:t>
      </w:r>
      <w:r>
        <w:rPr>
          <w:rFonts w:ascii="Century Schoolbook" w:hAnsi="Century Schoolbook"/>
          <w:color w:val="000000"/>
          <w:sz w:val="24"/>
          <w:szCs w:val="24"/>
        </w:rPr>
        <w:t xml:space="preserve">Such a relationship is unnecessary, and would likely conflict with, </w:t>
      </w:r>
      <w:r w:rsidRPr="00573FA5">
        <w:rPr>
          <w:rFonts w:ascii="Century Schoolbook" w:hAnsi="Century Schoolbook"/>
          <w:color w:val="000000"/>
          <w:sz w:val="24"/>
          <w:szCs w:val="24"/>
        </w:rPr>
        <w:t xml:space="preserve">that </w:t>
      </w:r>
      <w:r>
        <w:rPr>
          <w:rFonts w:ascii="Century Schoolbook" w:hAnsi="Century Schoolbook"/>
          <w:color w:val="000000"/>
          <w:sz w:val="24"/>
          <w:szCs w:val="24"/>
        </w:rPr>
        <w:t xml:space="preserve">between </w:t>
      </w:r>
      <w:r w:rsidRPr="00573FA5">
        <w:rPr>
          <w:rFonts w:ascii="Century Schoolbook" w:hAnsi="Century Schoolbook"/>
          <w:color w:val="000000"/>
          <w:sz w:val="24"/>
          <w:szCs w:val="24"/>
        </w:rPr>
        <w:t xml:space="preserve">each litigant </w:t>
      </w:r>
      <w:r>
        <w:rPr>
          <w:rFonts w:ascii="Century Schoolbook" w:hAnsi="Century Schoolbook"/>
          <w:color w:val="000000"/>
          <w:sz w:val="24"/>
          <w:szCs w:val="24"/>
        </w:rPr>
        <w:t xml:space="preserve">and </w:t>
      </w:r>
      <w:r w:rsidRPr="00573FA5">
        <w:rPr>
          <w:rFonts w:ascii="Century Schoolbook" w:hAnsi="Century Schoolbook"/>
          <w:color w:val="000000"/>
          <w:sz w:val="24"/>
          <w:szCs w:val="24"/>
        </w:rPr>
        <w:t>his or her own privately-retained attorney.)</w:t>
      </w:r>
    </w:p>
    <w:p w:rsidR="00610156" w:rsidRPr="00573FA5" w:rsidRDefault="00610156" w:rsidP="00610156">
      <w:pPr>
        <w:ind w:firstLine="720"/>
        <w:contextualSpacing/>
        <w:rPr>
          <w:rFonts w:ascii="Century Schoolbook" w:hAnsi="Century Schoolbook"/>
          <w:color w:val="000000"/>
          <w:sz w:val="24"/>
          <w:szCs w:val="24"/>
        </w:rPr>
      </w:pPr>
    </w:p>
    <w:p w:rsidR="00610156" w:rsidRPr="00573FA5" w:rsidRDefault="00CA3C6F" w:rsidP="00610156">
      <w:pPr>
        <w:ind w:firstLine="720"/>
        <w:contextualSpacing/>
        <w:rPr>
          <w:rFonts w:ascii="Century Schoolbook" w:hAnsi="Century Schoolbook"/>
          <w:color w:val="000000"/>
          <w:sz w:val="24"/>
          <w:szCs w:val="24"/>
        </w:rPr>
      </w:pPr>
      <w:r>
        <w:rPr>
          <w:rFonts w:ascii="Century Schoolbook" w:hAnsi="Century Schoolbook"/>
          <w:color w:val="000000"/>
          <w:sz w:val="24"/>
          <w:szCs w:val="24"/>
        </w:rPr>
        <w:t>L</w:t>
      </w:r>
      <w:r w:rsidRPr="00573FA5">
        <w:rPr>
          <w:rFonts w:ascii="Century Schoolbook" w:hAnsi="Century Schoolbook"/>
          <w:color w:val="000000"/>
          <w:sz w:val="24"/>
          <w:szCs w:val="24"/>
        </w:rPr>
        <w:t xml:space="preserve">ead counsel is </w:t>
      </w:r>
      <w:r>
        <w:rPr>
          <w:rFonts w:ascii="Century Schoolbook" w:hAnsi="Century Schoolbook"/>
          <w:color w:val="000000"/>
          <w:sz w:val="24"/>
          <w:szCs w:val="24"/>
        </w:rPr>
        <w:t xml:space="preserve">ordinarily </w:t>
      </w:r>
      <w:r w:rsidRPr="00573FA5">
        <w:rPr>
          <w:rFonts w:ascii="Century Schoolbook" w:hAnsi="Century Schoolbook"/>
          <w:color w:val="000000"/>
          <w:sz w:val="24"/>
          <w:szCs w:val="24"/>
        </w:rPr>
        <w:t xml:space="preserve">left to </w:t>
      </w:r>
      <w:r>
        <w:rPr>
          <w:rFonts w:ascii="Century Schoolbook" w:hAnsi="Century Schoolbook"/>
          <w:color w:val="000000"/>
          <w:sz w:val="24"/>
          <w:szCs w:val="24"/>
        </w:rPr>
        <w:t>their</w:t>
      </w:r>
      <w:r w:rsidRPr="00573FA5">
        <w:rPr>
          <w:rFonts w:ascii="Century Schoolbook" w:hAnsi="Century Schoolbook"/>
          <w:color w:val="000000"/>
          <w:sz w:val="24"/>
          <w:szCs w:val="24"/>
        </w:rPr>
        <w:t xml:space="preserve"> good judgment and discretion </w:t>
      </w:r>
      <w:r>
        <w:rPr>
          <w:rFonts w:ascii="Century Schoolbook" w:hAnsi="Century Schoolbook"/>
          <w:color w:val="000000"/>
          <w:sz w:val="24"/>
          <w:szCs w:val="24"/>
        </w:rPr>
        <w:t>i</w:t>
      </w:r>
      <w:r w:rsidRPr="00573FA5">
        <w:rPr>
          <w:rFonts w:ascii="Century Schoolbook" w:hAnsi="Century Schoolbook"/>
          <w:color w:val="000000"/>
          <w:sz w:val="24"/>
          <w:szCs w:val="24"/>
        </w:rPr>
        <w:t xml:space="preserve">n carrying out assigned tasks, and is not subject to the instruction or control of one or more of the </w:t>
      </w:r>
      <w:r>
        <w:rPr>
          <w:rFonts w:ascii="Century Schoolbook" w:hAnsi="Century Schoolbook"/>
          <w:color w:val="000000"/>
          <w:sz w:val="24"/>
          <w:szCs w:val="24"/>
        </w:rPr>
        <w:t xml:space="preserve">MDL </w:t>
      </w:r>
      <w:r w:rsidRPr="00573FA5">
        <w:rPr>
          <w:rFonts w:ascii="Century Schoolbook" w:hAnsi="Century Schoolbook"/>
          <w:color w:val="000000"/>
          <w:sz w:val="24"/>
          <w:szCs w:val="24"/>
        </w:rPr>
        <w:t>plaintiffs</w:t>
      </w:r>
      <w:r>
        <w:rPr>
          <w:rFonts w:ascii="Century Schoolbook" w:hAnsi="Century Schoolbook"/>
          <w:color w:val="000000"/>
          <w:sz w:val="24"/>
          <w:szCs w:val="24"/>
        </w:rPr>
        <w:t xml:space="preserve"> or their counsel</w:t>
      </w:r>
      <w:r w:rsidRPr="00573FA5">
        <w:rPr>
          <w:rFonts w:ascii="Century Schoolbook" w:hAnsi="Century Schoolbook"/>
          <w:color w:val="000000"/>
          <w:sz w:val="24"/>
          <w:szCs w:val="24"/>
        </w:rPr>
        <w:t>. Nor does any single plaintiff</w:t>
      </w:r>
      <w:r>
        <w:rPr>
          <w:rFonts w:ascii="Century Schoolbook" w:hAnsi="Century Schoolbook"/>
          <w:color w:val="000000"/>
          <w:sz w:val="24"/>
          <w:szCs w:val="24"/>
        </w:rPr>
        <w:t>,</w:t>
      </w:r>
      <w:r w:rsidRPr="00573FA5">
        <w:rPr>
          <w:rFonts w:ascii="Century Schoolbook" w:hAnsi="Century Schoolbook"/>
          <w:color w:val="000000"/>
          <w:sz w:val="24"/>
          <w:szCs w:val="24"/>
        </w:rPr>
        <w:t xml:space="preserve"> or the plaintiffs collectively</w:t>
      </w:r>
      <w:r>
        <w:rPr>
          <w:rFonts w:ascii="Century Schoolbook" w:hAnsi="Century Schoolbook"/>
          <w:color w:val="000000"/>
          <w:sz w:val="24"/>
          <w:szCs w:val="24"/>
        </w:rPr>
        <w:t>,</w:t>
      </w:r>
      <w:r w:rsidRPr="00573FA5">
        <w:rPr>
          <w:rFonts w:ascii="Century Schoolbook" w:hAnsi="Century Schoolbook"/>
          <w:color w:val="000000"/>
          <w:sz w:val="24"/>
          <w:szCs w:val="24"/>
        </w:rPr>
        <w:t xml:space="preserve"> have the power to terminate lead counsel’s authority to act</w:t>
      </w:r>
      <w:r>
        <w:rPr>
          <w:rFonts w:ascii="Century Schoolbook" w:hAnsi="Century Schoolbook"/>
          <w:color w:val="000000"/>
          <w:sz w:val="24"/>
          <w:szCs w:val="24"/>
        </w:rPr>
        <w:t xml:space="preserve">.  Only the court </w:t>
      </w:r>
      <w:r w:rsidRPr="00573FA5">
        <w:rPr>
          <w:rFonts w:ascii="Century Schoolbook" w:hAnsi="Century Schoolbook"/>
          <w:color w:val="000000"/>
          <w:sz w:val="24"/>
          <w:szCs w:val="24"/>
        </w:rPr>
        <w:t xml:space="preserve">can alter or rescind </w:t>
      </w:r>
      <w:r>
        <w:rPr>
          <w:rFonts w:ascii="Century Schoolbook" w:hAnsi="Century Schoolbook"/>
          <w:color w:val="000000"/>
          <w:sz w:val="24"/>
          <w:szCs w:val="24"/>
        </w:rPr>
        <w:t>the appointment</w:t>
      </w:r>
      <w:r w:rsidRPr="00573FA5">
        <w:rPr>
          <w:rFonts w:ascii="Century Schoolbook" w:hAnsi="Century Schoolbook"/>
          <w:color w:val="000000"/>
          <w:sz w:val="24"/>
          <w:szCs w:val="24"/>
        </w:rPr>
        <w:t>.</w:t>
      </w:r>
    </w:p>
    <w:p w:rsidR="00610156" w:rsidRPr="00573FA5" w:rsidRDefault="00610156" w:rsidP="00610156">
      <w:pPr>
        <w:ind w:firstLine="720"/>
        <w:contextualSpacing/>
        <w:rPr>
          <w:rFonts w:ascii="Century Schoolbook" w:hAnsi="Century Schoolbook"/>
          <w:color w:val="000000"/>
          <w:sz w:val="24"/>
          <w:szCs w:val="24"/>
        </w:rPr>
      </w:pPr>
    </w:p>
    <w:p w:rsidR="00610156" w:rsidRPr="00573FA5" w:rsidRDefault="00CA3C6F" w:rsidP="00610156">
      <w:pPr>
        <w:ind w:firstLine="720"/>
        <w:contextualSpacing/>
        <w:rPr>
          <w:rFonts w:ascii="Century Schoolbook" w:hAnsi="Century Schoolbook"/>
          <w:color w:val="000000"/>
          <w:sz w:val="24"/>
          <w:szCs w:val="24"/>
        </w:rPr>
      </w:pPr>
      <w:r w:rsidRPr="00573FA5">
        <w:rPr>
          <w:rFonts w:ascii="Century Schoolbook" w:hAnsi="Century Schoolbook"/>
          <w:color w:val="000000"/>
          <w:sz w:val="24"/>
          <w:szCs w:val="24"/>
        </w:rPr>
        <w:t xml:space="preserve">Unlike privately-retained counsel, who assume </w:t>
      </w:r>
      <w:r>
        <w:rPr>
          <w:rFonts w:ascii="Century Schoolbook" w:hAnsi="Century Schoolbook"/>
          <w:color w:val="000000"/>
          <w:sz w:val="24"/>
          <w:szCs w:val="24"/>
        </w:rPr>
        <w:t xml:space="preserve">as to their own clients </w:t>
      </w:r>
      <w:r w:rsidRPr="00573FA5">
        <w:rPr>
          <w:rFonts w:ascii="Century Schoolbook" w:hAnsi="Century Schoolbook"/>
          <w:color w:val="000000"/>
          <w:sz w:val="24"/>
          <w:szCs w:val="24"/>
        </w:rPr>
        <w:t xml:space="preserve">a fiduciary relationship of trust </w:t>
      </w:r>
      <w:r>
        <w:rPr>
          <w:rFonts w:ascii="Century Schoolbook" w:hAnsi="Century Schoolbook"/>
          <w:color w:val="000000"/>
          <w:sz w:val="24"/>
          <w:szCs w:val="24"/>
        </w:rPr>
        <w:t>concerning</w:t>
      </w:r>
      <w:r w:rsidRPr="00573FA5">
        <w:rPr>
          <w:rFonts w:ascii="Century Schoolbook" w:hAnsi="Century Schoolbook"/>
          <w:color w:val="000000"/>
          <w:sz w:val="24"/>
          <w:szCs w:val="24"/>
        </w:rPr>
        <w:t xml:space="preserve"> deposits, advances, </w:t>
      </w:r>
      <w:r>
        <w:rPr>
          <w:rFonts w:ascii="Century Schoolbook" w:hAnsi="Century Schoolbook"/>
          <w:color w:val="000000"/>
          <w:sz w:val="24"/>
          <w:szCs w:val="24"/>
        </w:rPr>
        <w:t xml:space="preserve">and </w:t>
      </w:r>
      <w:r w:rsidRPr="00573FA5">
        <w:rPr>
          <w:rFonts w:ascii="Century Schoolbook" w:hAnsi="Century Schoolbook"/>
          <w:color w:val="000000"/>
          <w:sz w:val="24"/>
          <w:szCs w:val="24"/>
        </w:rPr>
        <w:t xml:space="preserve">settlement proceeds, lead counsel in the typical MDL will rarely be in possession or control of plaintiff funds or other property. </w:t>
      </w:r>
      <w:r>
        <w:rPr>
          <w:rFonts w:ascii="Century Schoolbook" w:hAnsi="Century Schoolbook"/>
          <w:color w:val="000000"/>
          <w:sz w:val="24"/>
          <w:szCs w:val="24"/>
        </w:rPr>
        <w:t xml:space="preserve">This remains true </w:t>
      </w:r>
      <w:r w:rsidRPr="00573FA5">
        <w:rPr>
          <w:rFonts w:ascii="Century Schoolbook" w:hAnsi="Century Schoolbook"/>
          <w:sz w:val="24"/>
          <w:szCs w:val="24"/>
        </w:rPr>
        <w:t>relative to lead counsel</w:t>
      </w:r>
      <w:r>
        <w:rPr>
          <w:rFonts w:ascii="Century Schoolbook" w:hAnsi="Century Schoolbook"/>
          <w:sz w:val="24"/>
          <w:szCs w:val="24"/>
        </w:rPr>
        <w:t>’s</w:t>
      </w:r>
      <w:r w:rsidRPr="00573FA5">
        <w:rPr>
          <w:rFonts w:ascii="Century Schoolbook" w:hAnsi="Century Schoolbook"/>
          <w:sz w:val="24"/>
          <w:szCs w:val="24"/>
        </w:rPr>
        <w:t xml:space="preserve"> litigation costs and expenses. When appointed counsel advances or incurs expenses for the common benefit of plaintiffs, appointed counsel </w:t>
      </w:r>
      <w:r>
        <w:rPr>
          <w:rFonts w:ascii="Century Schoolbook" w:hAnsi="Century Schoolbook"/>
          <w:sz w:val="24"/>
          <w:szCs w:val="24"/>
        </w:rPr>
        <w:t>are</w:t>
      </w:r>
      <w:r w:rsidRPr="00573FA5">
        <w:rPr>
          <w:rFonts w:ascii="Century Schoolbook" w:hAnsi="Century Schoolbook"/>
          <w:sz w:val="24"/>
          <w:szCs w:val="24"/>
        </w:rPr>
        <w:t xml:space="preserve">, at that point, simply spending </w:t>
      </w:r>
      <w:r>
        <w:rPr>
          <w:rFonts w:ascii="Century Schoolbook" w:hAnsi="Century Schoolbook"/>
          <w:sz w:val="24"/>
          <w:szCs w:val="24"/>
        </w:rPr>
        <w:t>their</w:t>
      </w:r>
      <w:r w:rsidRPr="00573FA5">
        <w:rPr>
          <w:rFonts w:ascii="Century Schoolbook" w:hAnsi="Century Schoolbook"/>
          <w:sz w:val="24"/>
          <w:szCs w:val="24"/>
        </w:rPr>
        <w:t xml:space="preserve"> own money. </w:t>
      </w:r>
      <w:r>
        <w:rPr>
          <w:rFonts w:ascii="Century Schoolbook" w:hAnsi="Century Schoolbook"/>
          <w:sz w:val="24"/>
          <w:szCs w:val="24"/>
        </w:rPr>
        <w:t>O</w:t>
      </w:r>
      <w:r w:rsidRPr="00573FA5">
        <w:rPr>
          <w:rFonts w:ascii="Century Schoolbook" w:hAnsi="Century Schoolbook"/>
          <w:sz w:val="24"/>
          <w:szCs w:val="24"/>
        </w:rPr>
        <w:t xml:space="preserve">nly </w:t>
      </w:r>
      <w:r>
        <w:rPr>
          <w:rFonts w:ascii="Century Schoolbook" w:hAnsi="Century Schoolbook"/>
          <w:sz w:val="24"/>
          <w:szCs w:val="24"/>
        </w:rPr>
        <w:t xml:space="preserve">when </w:t>
      </w:r>
      <w:r w:rsidRPr="00573FA5">
        <w:rPr>
          <w:rFonts w:ascii="Century Schoolbook" w:hAnsi="Century Schoolbook"/>
          <w:sz w:val="24"/>
          <w:szCs w:val="24"/>
        </w:rPr>
        <w:t xml:space="preserve">lead counsel seeks reimbursement is </w:t>
      </w:r>
      <w:r>
        <w:rPr>
          <w:rFonts w:ascii="Century Schoolbook" w:hAnsi="Century Schoolbook"/>
          <w:sz w:val="24"/>
          <w:szCs w:val="24"/>
        </w:rPr>
        <w:t xml:space="preserve">a claim </w:t>
      </w:r>
      <w:r w:rsidRPr="00573FA5">
        <w:rPr>
          <w:rFonts w:ascii="Century Schoolbook" w:hAnsi="Century Schoolbook"/>
          <w:sz w:val="24"/>
          <w:szCs w:val="24"/>
        </w:rPr>
        <w:t xml:space="preserve">made against </w:t>
      </w:r>
      <w:r>
        <w:rPr>
          <w:rFonts w:ascii="Century Schoolbook" w:hAnsi="Century Schoolbook"/>
          <w:sz w:val="24"/>
          <w:szCs w:val="24"/>
        </w:rPr>
        <w:t xml:space="preserve">any </w:t>
      </w:r>
      <w:r w:rsidRPr="00573FA5">
        <w:rPr>
          <w:rFonts w:ascii="Century Schoolbook" w:hAnsi="Century Schoolbook"/>
          <w:sz w:val="24"/>
          <w:szCs w:val="24"/>
        </w:rPr>
        <w:t>plaintiff funds — a</w:t>
      </w:r>
      <w:r>
        <w:rPr>
          <w:rFonts w:ascii="Century Schoolbook" w:hAnsi="Century Schoolbook"/>
          <w:sz w:val="24"/>
          <w:szCs w:val="24"/>
        </w:rPr>
        <w:t>nd</w:t>
      </w:r>
      <w:r w:rsidRPr="00573FA5">
        <w:rPr>
          <w:rFonts w:ascii="Century Schoolbook" w:hAnsi="Century Schoolbook"/>
          <w:sz w:val="24"/>
          <w:szCs w:val="24"/>
        </w:rPr>
        <w:t xml:space="preserve"> </w:t>
      </w:r>
      <w:r>
        <w:rPr>
          <w:rFonts w:ascii="Century Schoolbook" w:hAnsi="Century Schoolbook"/>
          <w:sz w:val="24"/>
          <w:szCs w:val="24"/>
        </w:rPr>
        <w:t xml:space="preserve">such </w:t>
      </w:r>
      <w:r w:rsidRPr="00573FA5">
        <w:rPr>
          <w:rFonts w:ascii="Century Schoolbook" w:hAnsi="Century Schoolbook"/>
          <w:sz w:val="24"/>
          <w:szCs w:val="24"/>
        </w:rPr>
        <w:t xml:space="preserve">claim </w:t>
      </w:r>
      <w:r>
        <w:rPr>
          <w:rFonts w:ascii="Century Schoolbook" w:hAnsi="Century Schoolbook"/>
          <w:sz w:val="24"/>
          <w:szCs w:val="24"/>
        </w:rPr>
        <w:t xml:space="preserve">are </w:t>
      </w:r>
      <w:r w:rsidRPr="00573FA5">
        <w:rPr>
          <w:rFonts w:ascii="Century Schoolbook" w:hAnsi="Century Schoolbook"/>
          <w:sz w:val="24"/>
          <w:szCs w:val="24"/>
        </w:rPr>
        <w:t xml:space="preserve">almost </w:t>
      </w:r>
      <w:r>
        <w:rPr>
          <w:rFonts w:ascii="Century Schoolbook" w:hAnsi="Century Schoolbook"/>
          <w:sz w:val="24"/>
          <w:szCs w:val="24"/>
        </w:rPr>
        <w:t xml:space="preserve">invariably </w:t>
      </w:r>
      <w:r w:rsidRPr="00573FA5">
        <w:rPr>
          <w:rFonts w:ascii="Century Schoolbook" w:hAnsi="Century Schoolbook"/>
          <w:sz w:val="24"/>
          <w:szCs w:val="24"/>
        </w:rPr>
        <w:t xml:space="preserve">subject to court approval. </w:t>
      </w:r>
      <w:r>
        <w:rPr>
          <w:rFonts w:ascii="Century Schoolbook" w:hAnsi="Century Schoolbook"/>
          <w:sz w:val="24"/>
          <w:szCs w:val="24"/>
        </w:rPr>
        <w:t>MDL s</w:t>
      </w:r>
      <w:r w:rsidRPr="00573FA5">
        <w:rPr>
          <w:rFonts w:ascii="Century Schoolbook" w:hAnsi="Century Schoolbook"/>
          <w:sz w:val="24"/>
          <w:szCs w:val="24"/>
        </w:rPr>
        <w:t xml:space="preserve">ettlement funds are generally placed into a Qualified Settlement Fund, with an independent escrow agent, </w:t>
      </w:r>
      <w:r>
        <w:rPr>
          <w:rFonts w:ascii="Century Schoolbook" w:hAnsi="Century Schoolbook"/>
          <w:sz w:val="24"/>
          <w:szCs w:val="24"/>
        </w:rPr>
        <w:t xml:space="preserve">whereas most </w:t>
      </w:r>
      <w:r w:rsidRPr="00573FA5">
        <w:rPr>
          <w:rFonts w:ascii="Century Schoolbook" w:hAnsi="Century Schoolbook"/>
          <w:sz w:val="24"/>
          <w:szCs w:val="24"/>
        </w:rPr>
        <w:t>judgment or settlement proceeds are deposited into the attorney’s trust account for subsequent accounting and distribution.</w:t>
      </w:r>
    </w:p>
    <w:p w:rsidR="00610156" w:rsidRPr="00573FA5" w:rsidRDefault="00610156" w:rsidP="00610156">
      <w:pPr>
        <w:ind w:firstLine="720"/>
        <w:contextualSpacing/>
        <w:rPr>
          <w:rFonts w:ascii="Century Schoolbook" w:hAnsi="Century Schoolbook"/>
          <w:color w:val="000000"/>
          <w:sz w:val="24"/>
          <w:szCs w:val="24"/>
        </w:rPr>
      </w:pPr>
    </w:p>
    <w:p w:rsidR="00610156" w:rsidRPr="00573FA5" w:rsidRDefault="00CA3C6F" w:rsidP="00610156">
      <w:pPr>
        <w:ind w:firstLine="720"/>
        <w:contextualSpacing/>
        <w:rPr>
          <w:rFonts w:ascii="Century Schoolbook" w:hAnsi="Century Schoolbook"/>
          <w:color w:val="000000"/>
          <w:sz w:val="24"/>
          <w:szCs w:val="24"/>
        </w:rPr>
      </w:pPr>
      <w:r w:rsidRPr="00573FA5">
        <w:rPr>
          <w:rFonts w:ascii="Century Schoolbook" w:hAnsi="Century Schoolbook"/>
          <w:color w:val="000000"/>
          <w:sz w:val="24"/>
          <w:szCs w:val="24"/>
        </w:rPr>
        <w:t xml:space="preserve">Finally, a strict traditional common-law duty of loyalty </w:t>
      </w:r>
      <w:r>
        <w:rPr>
          <w:rFonts w:ascii="Century Schoolbook" w:hAnsi="Century Schoolbook"/>
          <w:color w:val="000000"/>
          <w:sz w:val="24"/>
          <w:szCs w:val="24"/>
        </w:rPr>
        <w:t xml:space="preserve">could not practically be imposed </w:t>
      </w:r>
      <w:r w:rsidRPr="00573FA5">
        <w:rPr>
          <w:rFonts w:ascii="Century Schoolbook" w:hAnsi="Century Schoolbook"/>
          <w:color w:val="000000"/>
          <w:sz w:val="24"/>
          <w:szCs w:val="24"/>
        </w:rPr>
        <w:t xml:space="preserve">upon lead counsel. </w:t>
      </w:r>
      <w:r>
        <w:rPr>
          <w:rFonts w:ascii="Century Schoolbook" w:hAnsi="Century Schoolbook"/>
          <w:color w:val="000000"/>
          <w:sz w:val="24"/>
          <w:szCs w:val="24"/>
        </w:rPr>
        <w:t xml:space="preserve">A fiduciary duty to hundreds or thousands (or more) of MDL plaintiffs </w:t>
      </w:r>
      <w:r>
        <w:rPr>
          <w:color w:val="000000"/>
          <w:sz w:val="24"/>
          <w:szCs w:val="24"/>
        </w:rPr>
        <w:t>–</w:t>
      </w:r>
      <w:r>
        <w:rPr>
          <w:rFonts w:ascii="Century Schoolbook" w:hAnsi="Century Schoolbook"/>
          <w:color w:val="000000"/>
          <w:sz w:val="24"/>
          <w:szCs w:val="24"/>
        </w:rPr>
        <w:t xml:space="preserve"> all with their own counsel </w:t>
      </w:r>
      <w:r>
        <w:rPr>
          <w:color w:val="000000"/>
          <w:sz w:val="24"/>
          <w:szCs w:val="24"/>
        </w:rPr>
        <w:t>−</w:t>
      </w:r>
      <w:r>
        <w:rPr>
          <w:rFonts w:ascii="Century Schoolbook" w:hAnsi="Century Schoolbook"/>
          <w:color w:val="000000"/>
          <w:sz w:val="24"/>
          <w:szCs w:val="24"/>
        </w:rPr>
        <w:t xml:space="preserve"> </w:t>
      </w:r>
      <w:r w:rsidRPr="00573FA5">
        <w:rPr>
          <w:rFonts w:ascii="Century Schoolbook" w:hAnsi="Century Schoolbook"/>
          <w:color w:val="000000"/>
          <w:sz w:val="24"/>
          <w:szCs w:val="24"/>
        </w:rPr>
        <w:t xml:space="preserve">would </w:t>
      </w:r>
      <w:r>
        <w:rPr>
          <w:rFonts w:ascii="Century Schoolbook" w:hAnsi="Century Schoolbook"/>
          <w:color w:val="000000"/>
          <w:sz w:val="24"/>
          <w:szCs w:val="24"/>
        </w:rPr>
        <w:t xml:space="preserve">create </w:t>
      </w:r>
      <w:r w:rsidRPr="00573FA5">
        <w:rPr>
          <w:rFonts w:ascii="Century Schoolbook" w:hAnsi="Century Schoolbook"/>
          <w:color w:val="000000"/>
          <w:sz w:val="24"/>
          <w:szCs w:val="24"/>
        </w:rPr>
        <w:t xml:space="preserve">an endless series of inquiries and disputes over the extent to which potential or actual “conflicts” might </w:t>
      </w:r>
      <w:r w:rsidRPr="00573FA5">
        <w:rPr>
          <w:rFonts w:ascii="Century Schoolbook" w:hAnsi="Century Schoolbook"/>
          <w:color w:val="000000"/>
          <w:sz w:val="24"/>
          <w:szCs w:val="24"/>
        </w:rPr>
        <w:lastRenderedPageBreak/>
        <w:t>exist between lead counsel</w:t>
      </w:r>
      <w:r>
        <w:rPr>
          <w:rFonts w:ascii="Century Schoolbook" w:hAnsi="Century Schoolbook"/>
          <w:color w:val="000000"/>
          <w:sz w:val="24"/>
          <w:szCs w:val="24"/>
        </w:rPr>
        <w:t>, his or her</w:t>
      </w:r>
      <w:r w:rsidRPr="00573FA5">
        <w:rPr>
          <w:rFonts w:ascii="Century Schoolbook" w:hAnsi="Century Schoolbook"/>
          <w:color w:val="000000"/>
          <w:sz w:val="24"/>
          <w:szCs w:val="24"/>
        </w:rPr>
        <w:t xml:space="preserve"> retained clients and, on the other hand, every other plaintiff in the MDL. </w:t>
      </w:r>
      <w:r>
        <w:rPr>
          <w:rFonts w:ascii="Century Schoolbook" w:hAnsi="Century Schoolbook"/>
          <w:color w:val="000000"/>
          <w:sz w:val="24"/>
          <w:szCs w:val="24"/>
        </w:rPr>
        <w:t xml:space="preserve">Such disputes </w:t>
      </w:r>
      <w:r w:rsidRPr="00573FA5">
        <w:rPr>
          <w:rFonts w:ascii="Century Schoolbook" w:hAnsi="Century Schoolbook"/>
          <w:color w:val="000000"/>
          <w:sz w:val="24"/>
          <w:szCs w:val="24"/>
        </w:rPr>
        <w:t xml:space="preserve">would undermine, if not eliminate entirely, the </w:t>
      </w:r>
      <w:r>
        <w:rPr>
          <w:rFonts w:ascii="Century Schoolbook" w:hAnsi="Century Schoolbook"/>
          <w:color w:val="000000"/>
          <w:sz w:val="24"/>
          <w:szCs w:val="24"/>
        </w:rPr>
        <w:t xml:space="preserve">MDL-related </w:t>
      </w:r>
      <w:r w:rsidRPr="00573FA5">
        <w:rPr>
          <w:rFonts w:ascii="Century Schoolbook" w:hAnsi="Century Schoolbook"/>
          <w:color w:val="000000"/>
          <w:sz w:val="24"/>
          <w:szCs w:val="24"/>
        </w:rPr>
        <w:t xml:space="preserve">efficiencies and economies </w:t>
      </w:r>
      <w:r>
        <w:rPr>
          <w:rFonts w:ascii="Century Schoolbook" w:hAnsi="Century Schoolbook"/>
          <w:color w:val="000000"/>
          <w:sz w:val="24"/>
          <w:szCs w:val="24"/>
        </w:rPr>
        <w:t>that justified creating the lead counsel position in the first place</w:t>
      </w:r>
      <w:r w:rsidRPr="00573FA5">
        <w:rPr>
          <w:rFonts w:ascii="Century Schoolbook" w:hAnsi="Century Schoolbook"/>
          <w:color w:val="000000"/>
          <w:sz w:val="24"/>
          <w:szCs w:val="24"/>
        </w:rPr>
        <w:t xml:space="preserve">. </w:t>
      </w:r>
      <w:r>
        <w:rPr>
          <w:rFonts w:ascii="Century Schoolbook" w:hAnsi="Century Schoolbook"/>
          <w:color w:val="000000"/>
          <w:sz w:val="24"/>
          <w:szCs w:val="24"/>
        </w:rPr>
        <w:t xml:space="preserve">A strong lead counsel role is also necessary to avoid </w:t>
      </w:r>
      <w:r w:rsidRPr="00573FA5">
        <w:rPr>
          <w:rFonts w:ascii="Century Schoolbook" w:hAnsi="Century Schoolbook"/>
          <w:color w:val="000000"/>
          <w:sz w:val="24"/>
          <w:szCs w:val="24"/>
        </w:rPr>
        <w:t xml:space="preserve">depriving </w:t>
      </w:r>
      <w:r>
        <w:rPr>
          <w:rFonts w:ascii="Century Schoolbook" w:hAnsi="Century Schoolbook"/>
          <w:color w:val="000000"/>
          <w:sz w:val="24"/>
          <w:szCs w:val="24"/>
        </w:rPr>
        <w:t xml:space="preserve">plaintiffs as a whole </w:t>
      </w:r>
      <w:r w:rsidRPr="00573FA5">
        <w:rPr>
          <w:rFonts w:ascii="Century Schoolbook" w:hAnsi="Century Schoolbook"/>
          <w:color w:val="000000"/>
          <w:sz w:val="24"/>
          <w:szCs w:val="24"/>
        </w:rPr>
        <w:t xml:space="preserve">of the most knowledgeable, skilled, and experienced counsel and by “balkanizing” the plaintiffs into so many sub-groups that effective </w:t>
      </w:r>
      <w:r>
        <w:rPr>
          <w:rFonts w:ascii="Century Schoolbook" w:hAnsi="Century Schoolbook"/>
          <w:color w:val="000000"/>
          <w:sz w:val="24"/>
          <w:szCs w:val="24"/>
        </w:rPr>
        <w:t xml:space="preserve">organization </w:t>
      </w:r>
      <w:r w:rsidRPr="00573FA5">
        <w:rPr>
          <w:rFonts w:ascii="Century Schoolbook" w:hAnsi="Century Schoolbook"/>
          <w:color w:val="000000"/>
          <w:sz w:val="24"/>
          <w:szCs w:val="24"/>
        </w:rPr>
        <w:t xml:space="preserve">would be </w:t>
      </w:r>
      <w:r>
        <w:rPr>
          <w:rFonts w:ascii="Century Schoolbook" w:hAnsi="Century Schoolbook"/>
          <w:color w:val="000000"/>
          <w:sz w:val="24"/>
          <w:szCs w:val="24"/>
        </w:rPr>
        <w:t>impossible</w:t>
      </w:r>
      <w:r w:rsidRPr="00573FA5">
        <w:rPr>
          <w:rFonts w:ascii="Century Schoolbook" w:hAnsi="Century Schoolbook"/>
          <w:color w:val="000000"/>
          <w:sz w:val="24"/>
          <w:szCs w:val="24"/>
        </w:rPr>
        <w:t>.</w:t>
      </w:r>
    </w:p>
    <w:p w:rsidR="00610156" w:rsidRPr="00573FA5" w:rsidRDefault="00610156" w:rsidP="00610156">
      <w:pPr>
        <w:ind w:firstLine="720"/>
        <w:contextualSpacing/>
        <w:rPr>
          <w:rFonts w:ascii="Century Schoolbook" w:hAnsi="Century Schoolbook"/>
          <w:color w:val="000000"/>
          <w:sz w:val="24"/>
          <w:szCs w:val="24"/>
        </w:rPr>
      </w:pPr>
    </w:p>
    <w:p w:rsidR="00610156" w:rsidRPr="00573FA5" w:rsidRDefault="00CA3C6F" w:rsidP="00610156">
      <w:pPr>
        <w:ind w:left="720" w:right="720"/>
        <w:contextualSpacing/>
        <w:jc w:val="both"/>
        <w:rPr>
          <w:rFonts w:ascii="Century Schoolbook" w:hAnsi="Century Schoolbook"/>
          <w:color w:val="000000"/>
          <w:sz w:val="24"/>
          <w:szCs w:val="24"/>
        </w:rPr>
      </w:pPr>
      <w:r w:rsidRPr="00573FA5">
        <w:rPr>
          <w:rFonts w:ascii="Century Schoolbook" w:hAnsi="Century Schoolbook"/>
          <w:b/>
          <w:smallCaps/>
          <w:color w:val="000000"/>
          <w:sz w:val="24"/>
          <w:szCs w:val="24"/>
        </w:rPr>
        <w:t>MDL Standard 7</w:t>
      </w:r>
      <w:r w:rsidRPr="00573FA5">
        <w:rPr>
          <w:rFonts w:ascii="Century Schoolbook" w:hAnsi="Century Schoolbook"/>
          <w:b/>
          <w:color w:val="000000"/>
          <w:sz w:val="24"/>
          <w:szCs w:val="24"/>
        </w:rPr>
        <w:t xml:space="preserve">: </w:t>
      </w:r>
      <w:r w:rsidRPr="00573FA5">
        <w:rPr>
          <w:rFonts w:ascii="Century Schoolbook" w:hAnsi="Century Schoolbook"/>
          <w:color w:val="000000"/>
          <w:sz w:val="24"/>
          <w:szCs w:val="24"/>
        </w:rPr>
        <w:t>Lead counsel should not disclose information provided under a condition of confidentiality, including settlement discussions subject to confidentiality conditions, to plaintiffs or their retained counsel.</w:t>
      </w:r>
    </w:p>
    <w:p w:rsidR="00610156" w:rsidRPr="00573FA5" w:rsidRDefault="00610156" w:rsidP="00610156">
      <w:pPr>
        <w:ind w:left="720" w:right="720"/>
        <w:contextualSpacing/>
        <w:rPr>
          <w:rFonts w:ascii="Century Schoolbook" w:hAnsi="Century Schoolbook"/>
          <w:color w:val="000000"/>
          <w:sz w:val="24"/>
          <w:szCs w:val="24"/>
        </w:rPr>
      </w:pPr>
    </w:p>
    <w:p w:rsidR="00610156" w:rsidRPr="00573FA5" w:rsidRDefault="00CA3C6F" w:rsidP="00610156">
      <w:pPr>
        <w:ind w:firstLine="720"/>
        <w:contextualSpacing/>
        <w:rPr>
          <w:rFonts w:ascii="Century Schoolbook" w:hAnsi="Century Schoolbook"/>
          <w:color w:val="000000"/>
          <w:sz w:val="24"/>
          <w:szCs w:val="24"/>
        </w:rPr>
      </w:pPr>
      <w:r w:rsidRPr="00573FA5">
        <w:rPr>
          <w:rFonts w:ascii="Century Schoolbook" w:hAnsi="Century Schoolbook"/>
          <w:color w:val="000000"/>
          <w:sz w:val="24"/>
          <w:szCs w:val="24"/>
        </w:rPr>
        <w:t xml:space="preserve">As with the duty of loyalty, it </w:t>
      </w:r>
      <w:r>
        <w:rPr>
          <w:rFonts w:ascii="Century Schoolbook" w:hAnsi="Century Schoolbook"/>
          <w:color w:val="000000"/>
          <w:sz w:val="24"/>
          <w:szCs w:val="24"/>
        </w:rPr>
        <w:t>would be</w:t>
      </w:r>
      <w:r w:rsidRPr="00573FA5">
        <w:rPr>
          <w:rFonts w:ascii="Century Schoolbook" w:hAnsi="Century Schoolbook"/>
          <w:color w:val="000000"/>
          <w:sz w:val="24"/>
          <w:szCs w:val="24"/>
        </w:rPr>
        <w:t xml:space="preserve"> impractical and unwise to require lead counsel to reveal sensitive strategic </w:t>
      </w:r>
      <w:r>
        <w:rPr>
          <w:rFonts w:ascii="Century Schoolbook" w:hAnsi="Century Schoolbook"/>
          <w:color w:val="000000"/>
          <w:sz w:val="24"/>
          <w:szCs w:val="24"/>
        </w:rPr>
        <w:t>concerns</w:t>
      </w:r>
      <w:r w:rsidRPr="00573FA5">
        <w:rPr>
          <w:rFonts w:ascii="Century Schoolbook" w:hAnsi="Century Schoolbook"/>
          <w:color w:val="000000"/>
          <w:sz w:val="24"/>
          <w:szCs w:val="24"/>
        </w:rPr>
        <w:t>, confidential settlement negotiations, and other information provided under a condition of confidentiality to all plaintiffs in the litigation (or their counsel).</w:t>
      </w:r>
      <w:r>
        <w:rPr>
          <w:rFonts w:ascii="Century Schoolbook" w:hAnsi="Century Schoolbook"/>
          <w:color w:val="000000"/>
          <w:sz w:val="24"/>
          <w:szCs w:val="24"/>
        </w:rPr>
        <w:t>T</w:t>
      </w:r>
      <w:r w:rsidRPr="00573FA5">
        <w:rPr>
          <w:rFonts w:ascii="Century Schoolbook" w:hAnsi="Century Schoolbook"/>
          <w:color w:val="000000"/>
          <w:sz w:val="24"/>
          <w:szCs w:val="24"/>
        </w:rPr>
        <w:t xml:space="preserve">he </w:t>
      </w:r>
      <w:r w:rsidRPr="00573FA5">
        <w:rPr>
          <w:rFonts w:ascii="Century Schoolbook" w:hAnsi="Century Schoolbook"/>
          <w:i/>
          <w:color w:val="000000"/>
          <w:sz w:val="24"/>
          <w:szCs w:val="24"/>
        </w:rPr>
        <w:t xml:space="preserve">Manual for Complex Litigation </w:t>
      </w:r>
      <w:r w:rsidRPr="00573FA5">
        <w:rPr>
          <w:rFonts w:ascii="Century Schoolbook" w:hAnsi="Century Schoolbook"/>
          <w:color w:val="000000"/>
          <w:sz w:val="24"/>
          <w:szCs w:val="24"/>
        </w:rPr>
        <w:t xml:space="preserve">explicitly recommends that lead counsel “use their judgment” in advising MDL plaintiffs and their attorneys of progress of the litigation, as “too much communication [of confidential information] may defeat the objectives of efficiency and economy.” </w:t>
      </w:r>
      <w:r>
        <w:rPr>
          <w:rFonts w:ascii="Century Schoolbook" w:hAnsi="Century Schoolbook"/>
          <w:color w:val="000000"/>
          <w:sz w:val="24"/>
          <w:szCs w:val="24"/>
        </w:rPr>
        <w:t>Nevertheless</w:t>
      </w:r>
      <w:r w:rsidRPr="00573FA5">
        <w:rPr>
          <w:rFonts w:ascii="Century Schoolbook" w:hAnsi="Century Schoolbook"/>
          <w:color w:val="000000"/>
          <w:sz w:val="24"/>
          <w:szCs w:val="24"/>
        </w:rPr>
        <w:t>, lead counsel has an obligation to regularly communicate with non-lead counsel as to developments in the MDL so that non-lead counsel are properly informed and can effectively represent their respective clients.</w:t>
      </w:r>
    </w:p>
    <w:p w:rsidR="00610156" w:rsidRPr="00573FA5" w:rsidRDefault="00610156" w:rsidP="00610156">
      <w:pPr>
        <w:ind w:firstLine="720"/>
        <w:contextualSpacing/>
        <w:rPr>
          <w:rFonts w:ascii="Century Schoolbook" w:hAnsi="Century Schoolbook"/>
          <w:color w:val="000000"/>
          <w:sz w:val="24"/>
          <w:szCs w:val="24"/>
        </w:rPr>
      </w:pPr>
    </w:p>
    <w:p w:rsidR="00610156" w:rsidRPr="00573FA5" w:rsidRDefault="00CA3C6F" w:rsidP="00610156">
      <w:pPr>
        <w:ind w:firstLine="720"/>
        <w:contextualSpacing/>
        <w:rPr>
          <w:rFonts w:ascii="Century Schoolbook" w:hAnsi="Century Schoolbook"/>
          <w:color w:val="000000"/>
          <w:sz w:val="24"/>
          <w:szCs w:val="24"/>
        </w:rPr>
      </w:pPr>
      <w:r>
        <w:rPr>
          <w:rFonts w:ascii="Century Schoolbook" w:hAnsi="Century Schoolbook"/>
          <w:color w:val="000000"/>
          <w:sz w:val="24"/>
          <w:szCs w:val="24"/>
        </w:rPr>
        <w:t>Informational needs in c</w:t>
      </w:r>
      <w:r w:rsidRPr="00573FA5">
        <w:rPr>
          <w:rFonts w:ascii="Century Schoolbook" w:hAnsi="Century Schoolbook"/>
          <w:color w:val="000000"/>
          <w:sz w:val="24"/>
          <w:szCs w:val="24"/>
        </w:rPr>
        <w:t xml:space="preserve">omplex multi-plaintiff litigation </w:t>
      </w:r>
      <w:r>
        <w:rPr>
          <w:rFonts w:ascii="Century Schoolbook" w:hAnsi="Century Schoolbook"/>
          <w:color w:val="000000"/>
          <w:sz w:val="24"/>
          <w:szCs w:val="24"/>
        </w:rPr>
        <w:t xml:space="preserve">differ </w:t>
      </w:r>
      <w:r w:rsidRPr="00573FA5">
        <w:rPr>
          <w:rFonts w:ascii="Century Schoolbook" w:hAnsi="Century Schoolbook"/>
          <w:color w:val="000000"/>
          <w:sz w:val="24"/>
          <w:szCs w:val="24"/>
        </w:rPr>
        <w:t xml:space="preserve">from single-party litigation, in at least two respects. First, in </w:t>
      </w:r>
      <w:r>
        <w:rPr>
          <w:rFonts w:ascii="Century Schoolbook" w:hAnsi="Century Schoolbook"/>
          <w:color w:val="000000"/>
          <w:sz w:val="24"/>
          <w:szCs w:val="24"/>
        </w:rPr>
        <w:t>ordinary litigation</w:t>
      </w:r>
      <w:r w:rsidRPr="00573FA5">
        <w:rPr>
          <w:rFonts w:ascii="Century Schoolbook" w:hAnsi="Century Schoolbook"/>
          <w:color w:val="000000"/>
          <w:sz w:val="24"/>
          <w:szCs w:val="24"/>
        </w:rPr>
        <w:t xml:space="preserve">, the attorney is retained to act as the </w:t>
      </w:r>
      <w:r>
        <w:rPr>
          <w:rFonts w:ascii="Century Schoolbook" w:hAnsi="Century Schoolbook"/>
          <w:color w:val="000000"/>
          <w:sz w:val="24"/>
          <w:szCs w:val="24"/>
        </w:rPr>
        <w:t>plaintiff’s</w:t>
      </w:r>
      <w:r w:rsidRPr="00573FA5">
        <w:rPr>
          <w:rFonts w:ascii="Century Schoolbook" w:hAnsi="Century Schoolbook"/>
          <w:color w:val="000000"/>
          <w:sz w:val="24"/>
          <w:szCs w:val="24"/>
        </w:rPr>
        <w:t xml:space="preserve"> agent, and whatever information acquire</w:t>
      </w:r>
      <w:r>
        <w:rPr>
          <w:rFonts w:ascii="Century Schoolbook" w:hAnsi="Century Schoolbook"/>
          <w:color w:val="000000"/>
          <w:sz w:val="24"/>
          <w:szCs w:val="24"/>
        </w:rPr>
        <w:t>d</w:t>
      </w:r>
      <w:r w:rsidRPr="00573FA5">
        <w:rPr>
          <w:rFonts w:ascii="Century Schoolbook" w:hAnsi="Century Schoolbook"/>
          <w:color w:val="000000"/>
          <w:sz w:val="24"/>
          <w:szCs w:val="24"/>
        </w:rPr>
        <w:t xml:space="preserve"> in the course of the representation “belongs” to the client. In an MDL, </w:t>
      </w:r>
      <w:r>
        <w:rPr>
          <w:rFonts w:ascii="Century Schoolbook" w:hAnsi="Century Schoolbook"/>
          <w:color w:val="000000"/>
          <w:sz w:val="24"/>
          <w:szCs w:val="24"/>
        </w:rPr>
        <w:t>by contrast</w:t>
      </w:r>
      <w:r w:rsidRPr="00573FA5">
        <w:rPr>
          <w:rFonts w:ascii="Century Schoolbook" w:hAnsi="Century Schoolbook"/>
          <w:color w:val="000000"/>
          <w:sz w:val="24"/>
          <w:szCs w:val="24"/>
        </w:rPr>
        <w:t>, lead counsel acquires information not as a</w:t>
      </w:r>
      <w:r>
        <w:rPr>
          <w:rFonts w:ascii="Century Schoolbook" w:hAnsi="Century Schoolbook"/>
          <w:color w:val="000000"/>
          <w:sz w:val="24"/>
          <w:szCs w:val="24"/>
        </w:rPr>
        <w:t>ny</w:t>
      </w:r>
      <w:r w:rsidRPr="00573FA5">
        <w:rPr>
          <w:rFonts w:ascii="Century Schoolbook" w:hAnsi="Century Schoolbook"/>
          <w:color w:val="000000"/>
          <w:sz w:val="24"/>
          <w:szCs w:val="24"/>
        </w:rPr>
        <w:t xml:space="preserve"> particular plaintiff’s agent</w:t>
      </w:r>
      <w:r>
        <w:rPr>
          <w:rFonts w:ascii="Century Schoolbook" w:hAnsi="Century Schoolbook"/>
          <w:color w:val="000000"/>
          <w:sz w:val="24"/>
          <w:szCs w:val="24"/>
        </w:rPr>
        <w:t>,</w:t>
      </w:r>
      <w:r w:rsidRPr="00573FA5">
        <w:rPr>
          <w:rFonts w:ascii="Century Schoolbook" w:hAnsi="Century Schoolbook"/>
          <w:color w:val="000000"/>
          <w:sz w:val="24"/>
          <w:szCs w:val="24"/>
        </w:rPr>
        <w:t xml:space="preserve"> but because the court has directed or authorized the attorney to undertake a certain function. </w:t>
      </w:r>
    </w:p>
    <w:p w:rsidR="00610156" w:rsidRPr="00573FA5" w:rsidRDefault="00610156" w:rsidP="00610156">
      <w:pPr>
        <w:ind w:firstLine="720"/>
        <w:contextualSpacing/>
        <w:rPr>
          <w:rFonts w:ascii="Century Schoolbook" w:hAnsi="Century Schoolbook"/>
          <w:color w:val="000000"/>
          <w:sz w:val="24"/>
          <w:szCs w:val="24"/>
        </w:rPr>
      </w:pPr>
    </w:p>
    <w:p w:rsidR="00610156" w:rsidRPr="00573FA5" w:rsidRDefault="00CA3C6F" w:rsidP="00610156">
      <w:pPr>
        <w:ind w:firstLine="720"/>
        <w:contextualSpacing/>
        <w:rPr>
          <w:rFonts w:ascii="Century Schoolbook" w:hAnsi="Century Schoolbook"/>
          <w:color w:val="000000"/>
          <w:sz w:val="24"/>
          <w:szCs w:val="24"/>
        </w:rPr>
      </w:pPr>
      <w:r w:rsidRPr="00573FA5">
        <w:rPr>
          <w:rFonts w:ascii="Century Schoolbook" w:hAnsi="Century Schoolbook"/>
          <w:color w:val="000000"/>
          <w:sz w:val="24"/>
          <w:szCs w:val="24"/>
        </w:rPr>
        <w:t xml:space="preserve">Second, in a typical case, </w:t>
      </w:r>
      <w:r>
        <w:rPr>
          <w:rFonts w:ascii="Century Schoolbook" w:hAnsi="Century Schoolbook"/>
          <w:color w:val="000000"/>
          <w:sz w:val="24"/>
          <w:szCs w:val="24"/>
        </w:rPr>
        <w:t xml:space="preserve">almost always </w:t>
      </w:r>
      <w:r w:rsidRPr="00573FA5">
        <w:rPr>
          <w:rFonts w:ascii="Century Schoolbook" w:hAnsi="Century Schoolbook"/>
          <w:color w:val="000000"/>
          <w:sz w:val="24"/>
          <w:szCs w:val="24"/>
        </w:rPr>
        <w:t xml:space="preserve">the client has no interest or incentive to reveal </w:t>
      </w:r>
      <w:r>
        <w:rPr>
          <w:rFonts w:ascii="Century Schoolbook" w:hAnsi="Century Schoolbook"/>
          <w:color w:val="000000"/>
          <w:sz w:val="24"/>
          <w:szCs w:val="24"/>
        </w:rPr>
        <w:t xml:space="preserve">attorney-client privileged </w:t>
      </w:r>
      <w:r w:rsidRPr="00573FA5">
        <w:rPr>
          <w:rFonts w:ascii="Century Schoolbook" w:hAnsi="Century Schoolbook"/>
          <w:color w:val="000000"/>
          <w:sz w:val="24"/>
          <w:szCs w:val="24"/>
        </w:rPr>
        <w:t xml:space="preserve">information. </w:t>
      </w:r>
      <w:r>
        <w:rPr>
          <w:rFonts w:ascii="Century Schoolbook" w:hAnsi="Century Schoolbook"/>
          <w:color w:val="000000"/>
          <w:sz w:val="24"/>
          <w:szCs w:val="24"/>
        </w:rPr>
        <w:t xml:space="preserve">An individual </w:t>
      </w:r>
      <w:r w:rsidRPr="00573FA5">
        <w:rPr>
          <w:rFonts w:ascii="Century Schoolbook" w:hAnsi="Century Schoolbook"/>
          <w:color w:val="000000"/>
          <w:sz w:val="24"/>
          <w:szCs w:val="24"/>
        </w:rPr>
        <w:t>plaintiff divulg</w:t>
      </w:r>
      <w:r>
        <w:rPr>
          <w:rFonts w:ascii="Century Schoolbook" w:hAnsi="Century Schoolbook"/>
          <w:color w:val="000000"/>
          <w:sz w:val="24"/>
          <w:szCs w:val="24"/>
        </w:rPr>
        <w:t>ing</w:t>
      </w:r>
      <w:r w:rsidRPr="00573FA5">
        <w:rPr>
          <w:rFonts w:ascii="Century Schoolbook" w:hAnsi="Century Schoolbook"/>
          <w:color w:val="000000"/>
          <w:sz w:val="24"/>
          <w:szCs w:val="24"/>
        </w:rPr>
        <w:t xml:space="preserve"> such confidences</w:t>
      </w:r>
      <w:r>
        <w:rPr>
          <w:rFonts w:ascii="Century Schoolbook" w:hAnsi="Century Schoolbook"/>
          <w:color w:val="000000"/>
          <w:sz w:val="24"/>
          <w:szCs w:val="24"/>
        </w:rPr>
        <w:t xml:space="preserve"> also does not hurt others</w:t>
      </w:r>
      <w:r w:rsidRPr="00573FA5">
        <w:rPr>
          <w:rFonts w:ascii="Century Schoolbook" w:hAnsi="Century Schoolbook"/>
          <w:color w:val="000000"/>
          <w:sz w:val="24"/>
          <w:szCs w:val="24"/>
        </w:rPr>
        <w:t xml:space="preserve">. In an MDL, by contrast, individual litigants — and </w:t>
      </w:r>
      <w:r>
        <w:rPr>
          <w:rFonts w:ascii="Century Schoolbook" w:hAnsi="Century Schoolbook"/>
          <w:color w:val="000000"/>
          <w:sz w:val="24"/>
          <w:szCs w:val="24"/>
        </w:rPr>
        <w:t xml:space="preserve">their </w:t>
      </w:r>
      <w:r w:rsidRPr="00573FA5">
        <w:rPr>
          <w:rFonts w:ascii="Century Schoolbook" w:hAnsi="Century Schoolbook"/>
          <w:color w:val="000000"/>
          <w:sz w:val="24"/>
          <w:szCs w:val="24"/>
        </w:rPr>
        <w:t xml:space="preserve">privately-retained counsel — </w:t>
      </w:r>
      <w:r>
        <w:rPr>
          <w:rFonts w:ascii="Century Schoolbook" w:hAnsi="Century Schoolbook"/>
          <w:color w:val="000000"/>
          <w:sz w:val="24"/>
          <w:szCs w:val="24"/>
        </w:rPr>
        <w:t xml:space="preserve">often, regardless of </w:t>
      </w:r>
      <w:r w:rsidRPr="00573FA5">
        <w:rPr>
          <w:rFonts w:ascii="Century Schoolbook" w:hAnsi="Century Schoolbook"/>
          <w:color w:val="000000"/>
          <w:sz w:val="24"/>
          <w:szCs w:val="24"/>
        </w:rPr>
        <w:t xml:space="preserve">good or bad faith, perceive some advantage to themselves or a particular sub-group of plaintiffs in disseminating information more broadly. </w:t>
      </w:r>
      <w:r>
        <w:rPr>
          <w:rFonts w:ascii="Century Schoolbook" w:hAnsi="Century Schoolbook"/>
          <w:color w:val="000000"/>
          <w:sz w:val="24"/>
          <w:szCs w:val="24"/>
        </w:rPr>
        <w:t xml:space="preserve"> Such information, if learned by MDL defendants, can easily prejudice plaintiffs’ overall position.</w:t>
      </w:r>
    </w:p>
    <w:p w:rsidR="00610156" w:rsidRPr="00573FA5" w:rsidRDefault="00610156" w:rsidP="00610156">
      <w:pPr>
        <w:ind w:firstLine="720"/>
        <w:contextualSpacing/>
        <w:rPr>
          <w:rFonts w:ascii="Century Schoolbook" w:hAnsi="Century Schoolbook"/>
          <w:color w:val="000000"/>
          <w:sz w:val="24"/>
          <w:szCs w:val="24"/>
        </w:rPr>
      </w:pPr>
    </w:p>
    <w:p w:rsidR="00610156" w:rsidRPr="00573FA5" w:rsidRDefault="00CA3C6F" w:rsidP="00610156">
      <w:pPr>
        <w:ind w:firstLine="720"/>
        <w:contextualSpacing/>
        <w:rPr>
          <w:rFonts w:ascii="Century Schoolbook" w:hAnsi="Century Schoolbook"/>
          <w:color w:val="000000"/>
          <w:sz w:val="24"/>
          <w:szCs w:val="24"/>
        </w:rPr>
      </w:pPr>
      <w:r w:rsidRPr="00573FA5">
        <w:rPr>
          <w:rFonts w:ascii="Century Schoolbook" w:hAnsi="Century Schoolbook"/>
          <w:color w:val="000000"/>
          <w:sz w:val="24"/>
          <w:szCs w:val="24"/>
        </w:rPr>
        <w:t>Individual MDL plaintiffs</w:t>
      </w:r>
      <w:r>
        <w:rPr>
          <w:rFonts w:ascii="Century Schoolbook" w:hAnsi="Century Schoolbook"/>
          <w:color w:val="000000"/>
          <w:sz w:val="24"/>
          <w:szCs w:val="24"/>
        </w:rPr>
        <w:t xml:space="preserve">, or </w:t>
      </w:r>
      <w:r w:rsidRPr="00573FA5">
        <w:rPr>
          <w:rFonts w:ascii="Century Schoolbook" w:hAnsi="Century Schoolbook"/>
          <w:color w:val="000000"/>
          <w:sz w:val="24"/>
          <w:szCs w:val="24"/>
        </w:rPr>
        <w:t>their privately-retained counsel</w:t>
      </w:r>
      <w:r>
        <w:rPr>
          <w:rFonts w:ascii="Century Schoolbook" w:hAnsi="Century Schoolbook"/>
          <w:color w:val="000000"/>
          <w:sz w:val="24"/>
          <w:szCs w:val="24"/>
        </w:rPr>
        <w:t>,</w:t>
      </w:r>
      <w:r w:rsidRPr="00573FA5">
        <w:rPr>
          <w:rFonts w:ascii="Century Schoolbook" w:hAnsi="Century Schoolbook"/>
          <w:color w:val="000000"/>
          <w:sz w:val="24"/>
          <w:szCs w:val="24"/>
        </w:rPr>
        <w:t xml:space="preserve"> frequently ask lead counsel for periodic status reports, especially disclosure of settlement negotiations. </w:t>
      </w:r>
      <w:r>
        <w:rPr>
          <w:rFonts w:ascii="Century Schoolbook" w:hAnsi="Century Schoolbook"/>
          <w:color w:val="000000"/>
          <w:sz w:val="24"/>
          <w:szCs w:val="24"/>
        </w:rPr>
        <w:t>D</w:t>
      </w:r>
      <w:r w:rsidRPr="00573FA5">
        <w:rPr>
          <w:rFonts w:ascii="Century Schoolbook" w:hAnsi="Century Schoolbook"/>
          <w:color w:val="000000"/>
          <w:sz w:val="24"/>
          <w:szCs w:val="24"/>
        </w:rPr>
        <w:t>efendants</w:t>
      </w:r>
      <w:r>
        <w:rPr>
          <w:rFonts w:ascii="Century Schoolbook" w:hAnsi="Century Schoolbook"/>
          <w:color w:val="000000"/>
          <w:sz w:val="24"/>
          <w:szCs w:val="24"/>
        </w:rPr>
        <w:t>, however,</w:t>
      </w:r>
      <w:r w:rsidRPr="00573FA5">
        <w:rPr>
          <w:rFonts w:ascii="Century Schoolbook" w:hAnsi="Century Schoolbook"/>
          <w:color w:val="000000"/>
          <w:sz w:val="24"/>
          <w:szCs w:val="24"/>
        </w:rPr>
        <w:t xml:space="preserve"> typically </w:t>
      </w:r>
      <w:r>
        <w:rPr>
          <w:rFonts w:ascii="Century Schoolbook" w:hAnsi="Century Schoolbook"/>
          <w:color w:val="000000"/>
          <w:sz w:val="24"/>
          <w:szCs w:val="24"/>
        </w:rPr>
        <w:t xml:space="preserve">demand confidentiality for </w:t>
      </w:r>
      <w:r w:rsidRPr="00573FA5">
        <w:rPr>
          <w:rFonts w:ascii="Century Schoolbook" w:hAnsi="Century Schoolbook"/>
          <w:color w:val="000000"/>
          <w:sz w:val="24"/>
          <w:szCs w:val="24"/>
        </w:rPr>
        <w:t>such discussions</w:t>
      </w:r>
      <w:r>
        <w:rPr>
          <w:rFonts w:ascii="Century Schoolbook" w:hAnsi="Century Schoolbook"/>
          <w:color w:val="000000"/>
          <w:sz w:val="24"/>
          <w:szCs w:val="24"/>
        </w:rPr>
        <w:t>,</w:t>
      </w:r>
      <w:r w:rsidRPr="00573FA5">
        <w:rPr>
          <w:rFonts w:ascii="Century Schoolbook" w:hAnsi="Century Schoolbook"/>
          <w:color w:val="000000"/>
          <w:sz w:val="24"/>
          <w:szCs w:val="24"/>
        </w:rPr>
        <w:t xml:space="preserve"> and will discontinue the negotiations in the event of a breach. </w:t>
      </w:r>
      <w:r>
        <w:rPr>
          <w:rFonts w:ascii="Century Schoolbook" w:hAnsi="Century Schoolbook"/>
          <w:color w:val="000000"/>
          <w:sz w:val="24"/>
          <w:szCs w:val="24"/>
        </w:rPr>
        <w:t xml:space="preserve">Until a </w:t>
      </w:r>
      <w:r>
        <w:rPr>
          <w:rFonts w:ascii="Century Schoolbook" w:hAnsi="Century Schoolbook"/>
          <w:color w:val="000000"/>
          <w:sz w:val="24"/>
          <w:szCs w:val="24"/>
        </w:rPr>
        <w:lastRenderedPageBreak/>
        <w:t xml:space="preserve">settlement is actually reached, </w:t>
      </w:r>
      <w:r w:rsidRPr="00573FA5">
        <w:rPr>
          <w:rFonts w:ascii="Century Schoolbook" w:hAnsi="Century Schoolbook"/>
          <w:color w:val="000000"/>
          <w:sz w:val="24"/>
          <w:szCs w:val="24"/>
        </w:rPr>
        <w:t xml:space="preserve">the value of </w:t>
      </w:r>
      <w:r>
        <w:rPr>
          <w:rFonts w:ascii="Century Schoolbook" w:hAnsi="Century Schoolbook"/>
          <w:color w:val="000000"/>
          <w:sz w:val="24"/>
          <w:szCs w:val="24"/>
        </w:rPr>
        <w:t>such</w:t>
      </w:r>
      <w:r w:rsidRPr="00573FA5">
        <w:rPr>
          <w:rFonts w:ascii="Century Schoolbook" w:hAnsi="Century Schoolbook"/>
          <w:color w:val="000000"/>
          <w:sz w:val="24"/>
          <w:szCs w:val="24"/>
        </w:rPr>
        <w:t xml:space="preserve"> information </w:t>
      </w:r>
      <w:r>
        <w:rPr>
          <w:rFonts w:ascii="Century Schoolbook" w:hAnsi="Century Schoolbook"/>
          <w:color w:val="000000"/>
          <w:sz w:val="24"/>
          <w:szCs w:val="24"/>
        </w:rPr>
        <w:t xml:space="preserve">to individual plaintiffs </w:t>
      </w:r>
      <w:r w:rsidRPr="00573FA5">
        <w:rPr>
          <w:rFonts w:ascii="Century Schoolbook" w:hAnsi="Century Schoolbook"/>
          <w:color w:val="000000"/>
          <w:sz w:val="24"/>
          <w:szCs w:val="24"/>
        </w:rPr>
        <w:t xml:space="preserve">is of limited utility, whereas the risks and consequences of compromise are considerable and potentially severe. </w:t>
      </w:r>
      <w:r>
        <w:rPr>
          <w:rFonts w:ascii="Century Schoolbook" w:hAnsi="Century Schoolbook"/>
          <w:color w:val="000000"/>
          <w:sz w:val="24"/>
          <w:szCs w:val="24"/>
        </w:rPr>
        <w:t xml:space="preserve">All </w:t>
      </w:r>
      <w:r w:rsidRPr="00573FA5">
        <w:rPr>
          <w:rFonts w:ascii="Century Schoolbook" w:hAnsi="Century Schoolbook"/>
          <w:color w:val="000000"/>
          <w:sz w:val="24"/>
          <w:szCs w:val="24"/>
        </w:rPr>
        <w:t>settlement</w:t>
      </w:r>
      <w:r>
        <w:rPr>
          <w:rFonts w:ascii="Century Schoolbook" w:hAnsi="Century Schoolbook"/>
          <w:color w:val="000000"/>
          <w:sz w:val="24"/>
          <w:szCs w:val="24"/>
        </w:rPr>
        <w:t>s</w:t>
      </w:r>
      <w:r w:rsidRPr="00573FA5">
        <w:rPr>
          <w:rFonts w:ascii="Century Schoolbook" w:hAnsi="Century Schoolbook"/>
          <w:color w:val="000000"/>
          <w:sz w:val="24"/>
          <w:szCs w:val="24"/>
        </w:rPr>
        <w:t xml:space="preserve"> </w:t>
      </w:r>
      <w:r>
        <w:rPr>
          <w:rFonts w:ascii="Century Schoolbook" w:hAnsi="Century Schoolbook"/>
          <w:color w:val="000000"/>
          <w:sz w:val="24"/>
          <w:szCs w:val="24"/>
        </w:rPr>
        <w:t xml:space="preserve">ultimately </w:t>
      </w:r>
      <w:r w:rsidRPr="00573FA5">
        <w:rPr>
          <w:rFonts w:ascii="Century Schoolbook" w:hAnsi="Century Schoolbook"/>
          <w:color w:val="000000"/>
          <w:sz w:val="24"/>
          <w:szCs w:val="24"/>
        </w:rPr>
        <w:t xml:space="preserve">negotiated by lead counsel </w:t>
      </w:r>
      <w:r>
        <w:rPr>
          <w:rFonts w:ascii="Century Schoolbook" w:hAnsi="Century Schoolbook"/>
          <w:color w:val="000000"/>
          <w:sz w:val="24"/>
          <w:szCs w:val="24"/>
        </w:rPr>
        <w:t xml:space="preserve">require consent of the settling plaintiffs to be binding, and such consent will require </w:t>
      </w:r>
      <w:r w:rsidRPr="00573FA5">
        <w:rPr>
          <w:rFonts w:ascii="Century Schoolbook" w:hAnsi="Century Schoolbook"/>
          <w:color w:val="000000"/>
          <w:sz w:val="24"/>
          <w:szCs w:val="24"/>
        </w:rPr>
        <w:t>full and transparent notice and other disclosure</w:t>
      </w:r>
      <w:r>
        <w:rPr>
          <w:rFonts w:ascii="Century Schoolbook" w:hAnsi="Century Schoolbook"/>
          <w:color w:val="000000"/>
          <w:sz w:val="24"/>
          <w:szCs w:val="24"/>
        </w:rPr>
        <w:t xml:space="preserve"> </w:t>
      </w:r>
      <w:r>
        <w:rPr>
          <w:color w:val="000000"/>
          <w:sz w:val="24"/>
          <w:szCs w:val="24"/>
        </w:rPr>
        <w:t>–</w:t>
      </w:r>
      <w:r>
        <w:rPr>
          <w:rFonts w:ascii="Century Schoolbook" w:hAnsi="Century Schoolbook"/>
          <w:color w:val="000000"/>
          <w:sz w:val="24"/>
          <w:szCs w:val="24"/>
        </w:rPr>
        <w:t xml:space="preserve"> but only after the negotiators have reached a deal</w:t>
      </w:r>
      <w:r w:rsidRPr="00573FA5">
        <w:rPr>
          <w:rFonts w:ascii="Century Schoolbook" w:hAnsi="Century Schoolbook"/>
          <w:color w:val="000000"/>
          <w:sz w:val="24"/>
          <w:szCs w:val="24"/>
        </w:rPr>
        <w:t xml:space="preserve">. </w:t>
      </w:r>
    </w:p>
    <w:p w:rsidR="00610156" w:rsidRPr="00573FA5" w:rsidRDefault="00610156" w:rsidP="00610156">
      <w:pPr>
        <w:ind w:firstLine="720"/>
        <w:contextualSpacing/>
        <w:rPr>
          <w:rFonts w:ascii="Century Schoolbook" w:hAnsi="Century Schoolbook"/>
          <w:color w:val="000000"/>
          <w:sz w:val="24"/>
          <w:szCs w:val="24"/>
        </w:rPr>
      </w:pPr>
    </w:p>
    <w:p w:rsidR="00610156" w:rsidRPr="00573FA5" w:rsidRDefault="00CA3C6F" w:rsidP="00610156">
      <w:pPr>
        <w:ind w:firstLine="720"/>
        <w:contextualSpacing/>
        <w:rPr>
          <w:rFonts w:ascii="Century Schoolbook" w:hAnsi="Century Schoolbook"/>
          <w:color w:val="000000"/>
          <w:sz w:val="24"/>
          <w:szCs w:val="24"/>
        </w:rPr>
      </w:pPr>
      <w:r w:rsidRPr="00573FA5">
        <w:rPr>
          <w:rFonts w:ascii="Century Schoolbook" w:hAnsi="Century Schoolbook"/>
          <w:color w:val="000000"/>
          <w:sz w:val="24"/>
          <w:szCs w:val="24"/>
        </w:rPr>
        <w:t xml:space="preserve">When </w:t>
      </w:r>
      <w:r>
        <w:rPr>
          <w:rFonts w:ascii="Century Schoolbook" w:hAnsi="Century Schoolbook"/>
          <w:color w:val="000000"/>
          <w:sz w:val="24"/>
          <w:szCs w:val="24"/>
        </w:rPr>
        <w:t>settlement</w:t>
      </w:r>
      <w:r w:rsidRPr="00573FA5">
        <w:rPr>
          <w:rFonts w:ascii="Century Schoolbook" w:hAnsi="Century Schoolbook"/>
          <w:color w:val="000000"/>
          <w:sz w:val="24"/>
          <w:szCs w:val="24"/>
        </w:rPr>
        <w:t xml:space="preserve"> confidences are compromised, </w:t>
      </w:r>
      <w:r>
        <w:rPr>
          <w:rFonts w:ascii="Century Schoolbook" w:hAnsi="Century Schoolbook"/>
          <w:color w:val="000000"/>
          <w:sz w:val="24"/>
          <w:szCs w:val="24"/>
        </w:rPr>
        <w:t xml:space="preserve">for whatever reason, </w:t>
      </w:r>
      <w:r w:rsidRPr="00573FA5">
        <w:rPr>
          <w:rFonts w:ascii="Century Schoolbook" w:hAnsi="Century Schoolbook"/>
          <w:color w:val="000000"/>
          <w:sz w:val="24"/>
          <w:szCs w:val="24"/>
        </w:rPr>
        <w:t xml:space="preserve">the consequences </w:t>
      </w:r>
      <w:r>
        <w:rPr>
          <w:rFonts w:ascii="Century Schoolbook" w:hAnsi="Century Schoolbook"/>
          <w:color w:val="000000"/>
          <w:sz w:val="24"/>
          <w:szCs w:val="24"/>
        </w:rPr>
        <w:t xml:space="preserve">extend beyond </w:t>
      </w:r>
      <w:r w:rsidRPr="00573FA5">
        <w:rPr>
          <w:rFonts w:ascii="Century Schoolbook" w:hAnsi="Century Schoolbook"/>
          <w:color w:val="000000"/>
          <w:sz w:val="24"/>
          <w:szCs w:val="24"/>
        </w:rPr>
        <w:t>the plaintiff or lawyer who divulge</w:t>
      </w:r>
      <w:r>
        <w:rPr>
          <w:rFonts w:ascii="Century Schoolbook" w:hAnsi="Century Schoolbook"/>
          <w:color w:val="000000"/>
          <w:sz w:val="24"/>
          <w:szCs w:val="24"/>
        </w:rPr>
        <w:t>d</w:t>
      </w:r>
      <w:r w:rsidRPr="00573FA5">
        <w:rPr>
          <w:rFonts w:ascii="Century Schoolbook" w:hAnsi="Century Schoolbook"/>
          <w:color w:val="000000"/>
          <w:sz w:val="24"/>
          <w:szCs w:val="24"/>
        </w:rPr>
        <w:t xml:space="preserve"> the information</w:t>
      </w:r>
      <w:r w:rsidR="00775EB4">
        <w:rPr>
          <w:rFonts w:ascii="Century Schoolbook" w:hAnsi="Century Schoolbook"/>
          <w:color w:val="000000"/>
          <w:sz w:val="24"/>
          <w:szCs w:val="24"/>
        </w:rPr>
        <w:t xml:space="preserve"> </w:t>
      </w:r>
      <w:r>
        <w:rPr>
          <w:rFonts w:ascii="Century Schoolbook" w:hAnsi="Century Schoolbook"/>
          <w:color w:val="000000"/>
          <w:sz w:val="24"/>
          <w:szCs w:val="24"/>
        </w:rPr>
        <w:t xml:space="preserve">to </w:t>
      </w:r>
      <w:r w:rsidRPr="00573FA5">
        <w:rPr>
          <w:rFonts w:ascii="Century Schoolbook" w:hAnsi="Century Schoolbook"/>
          <w:color w:val="000000"/>
          <w:sz w:val="24"/>
          <w:szCs w:val="24"/>
        </w:rPr>
        <w:t xml:space="preserve">other plaintiffs with cases pending in the litigation. </w:t>
      </w:r>
      <w:r>
        <w:rPr>
          <w:rFonts w:ascii="Century Schoolbook" w:hAnsi="Century Schoolbook"/>
          <w:color w:val="000000"/>
          <w:sz w:val="24"/>
          <w:szCs w:val="24"/>
        </w:rPr>
        <w:t>While</w:t>
      </w:r>
      <w:r w:rsidRPr="00573FA5">
        <w:rPr>
          <w:rFonts w:ascii="Century Schoolbook" w:hAnsi="Century Schoolbook"/>
          <w:color w:val="000000"/>
          <w:sz w:val="24"/>
          <w:szCs w:val="24"/>
        </w:rPr>
        <w:t xml:space="preserve"> different circumstances </w:t>
      </w:r>
      <w:r>
        <w:rPr>
          <w:rFonts w:ascii="Century Schoolbook" w:hAnsi="Century Schoolbook"/>
          <w:color w:val="000000"/>
          <w:sz w:val="24"/>
          <w:szCs w:val="24"/>
        </w:rPr>
        <w:t xml:space="preserve">warrant </w:t>
      </w:r>
      <w:r w:rsidRPr="00573FA5">
        <w:rPr>
          <w:rFonts w:ascii="Century Schoolbook" w:hAnsi="Century Schoolbook"/>
          <w:color w:val="000000"/>
          <w:sz w:val="24"/>
          <w:szCs w:val="24"/>
        </w:rPr>
        <w:t xml:space="preserve">different levels of disclosure to plaintiffs and their privately-retained counsel so that they can </w:t>
      </w:r>
      <w:r>
        <w:rPr>
          <w:rFonts w:ascii="Century Schoolbook" w:hAnsi="Century Schoolbook"/>
          <w:color w:val="000000"/>
          <w:sz w:val="24"/>
          <w:szCs w:val="24"/>
        </w:rPr>
        <w:t>determine whether to partici</w:t>
      </w:r>
      <w:r w:rsidR="00775EB4">
        <w:rPr>
          <w:rFonts w:ascii="Century Schoolbook" w:hAnsi="Century Schoolbook"/>
          <w:color w:val="000000"/>
          <w:sz w:val="24"/>
          <w:szCs w:val="24"/>
        </w:rPr>
        <w:t>p</w:t>
      </w:r>
      <w:r>
        <w:rPr>
          <w:rFonts w:ascii="Century Schoolbook" w:hAnsi="Century Schoolbook"/>
          <w:color w:val="000000"/>
          <w:sz w:val="24"/>
          <w:szCs w:val="24"/>
        </w:rPr>
        <w:t>ate</w:t>
      </w:r>
      <w:r w:rsidRPr="00573FA5">
        <w:rPr>
          <w:rFonts w:ascii="Century Schoolbook" w:hAnsi="Century Schoolbook"/>
          <w:color w:val="000000"/>
          <w:sz w:val="24"/>
          <w:szCs w:val="24"/>
        </w:rPr>
        <w:t xml:space="preserve">, </w:t>
      </w:r>
      <w:r>
        <w:rPr>
          <w:rFonts w:ascii="Century Schoolbook" w:hAnsi="Century Schoolbook"/>
          <w:color w:val="000000"/>
          <w:sz w:val="24"/>
          <w:szCs w:val="24"/>
        </w:rPr>
        <w:t xml:space="preserve">pre-agreement disclosure </w:t>
      </w:r>
      <w:r w:rsidRPr="00573FA5">
        <w:rPr>
          <w:rFonts w:ascii="Century Schoolbook" w:hAnsi="Century Schoolbook"/>
          <w:color w:val="000000"/>
          <w:sz w:val="24"/>
          <w:szCs w:val="24"/>
        </w:rPr>
        <w:t xml:space="preserve">should not be unlimited </w:t>
      </w:r>
      <w:r>
        <w:rPr>
          <w:rFonts w:ascii="Century Schoolbook" w:hAnsi="Century Schoolbook"/>
          <w:color w:val="000000"/>
          <w:sz w:val="24"/>
          <w:szCs w:val="24"/>
        </w:rPr>
        <w:t xml:space="preserve">or </w:t>
      </w:r>
      <w:r w:rsidRPr="00573FA5">
        <w:rPr>
          <w:rFonts w:ascii="Century Schoolbook" w:hAnsi="Century Schoolbook"/>
          <w:color w:val="000000"/>
          <w:sz w:val="24"/>
          <w:szCs w:val="24"/>
        </w:rPr>
        <w:t>ongoing</w:t>
      </w:r>
      <w:r>
        <w:rPr>
          <w:rFonts w:ascii="Century Schoolbook" w:hAnsi="Century Schoolbook"/>
          <w:color w:val="000000"/>
          <w:sz w:val="24"/>
          <w:szCs w:val="24"/>
        </w:rPr>
        <w:t>,</w:t>
      </w:r>
      <w:r w:rsidRPr="00573FA5">
        <w:rPr>
          <w:rFonts w:ascii="Century Schoolbook" w:hAnsi="Century Schoolbook"/>
          <w:color w:val="000000"/>
          <w:sz w:val="24"/>
          <w:szCs w:val="24"/>
        </w:rPr>
        <w:t xml:space="preserve"> </w:t>
      </w:r>
      <w:r>
        <w:rPr>
          <w:rFonts w:ascii="Century Schoolbook" w:hAnsi="Century Schoolbook"/>
          <w:color w:val="000000"/>
          <w:sz w:val="24"/>
          <w:szCs w:val="24"/>
        </w:rPr>
        <w:t xml:space="preserve">given the prejudicial nature of unauthorized disclosure to </w:t>
      </w:r>
      <w:r w:rsidRPr="00573FA5">
        <w:rPr>
          <w:rFonts w:ascii="Century Schoolbook" w:hAnsi="Century Schoolbook"/>
          <w:color w:val="000000"/>
          <w:sz w:val="24"/>
          <w:szCs w:val="24"/>
        </w:rPr>
        <w:t xml:space="preserve">the very plaintiffs whose collective interests lead counsel was appointed by the court to advance. </w:t>
      </w:r>
    </w:p>
    <w:p w:rsidR="00610156" w:rsidRPr="00573FA5" w:rsidRDefault="00610156" w:rsidP="00610156">
      <w:pPr>
        <w:ind w:firstLine="720"/>
        <w:contextualSpacing/>
        <w:rPr>
          <w:rFonts w:ascii="Century Schoolbook" w:hAnsi="Century Schoolbook"/>
          <w:color w:val="000000"/>
          <w:sz w:val="24"/>
          <w:szCs w:val="24"/>
        </w:rPr>
      </w:pPr>
    </w:p>
    <w:p w:rsidR="00610156" w:rsidRPr="00573FA5" w:rsidRDefault="00CA3C6F" w:rsidP="00610156">
      <w:pPr>
        <w:ind w:firstLine="720"/>
        <w:contextualSpacing/>
        <w:rPr>
          <w:rFonts w:ascii="Century Schoolbook" w:hAnsi="Century Schoolbook"/>
          <w:color w:val="000000"/>
          <w:sz w:val="24"/>
          <w:szCs w:val="24"/>
        </w:rPr>
      </w:pPr>
      <w:r>
        <w:rPr>
          <w:rFonts w:ascii="Century Schoolbook" w:hAnsi="Century Schoolbook"/>
          <w:color w:val="000000"/>
          <w:sz w:val="24"/>
          <w:szCs w:val="24"/>
        </w:rPr>
        <w:t>D</w:t>
      </w:r>
      <w:r w:rsidRPr="00573FA5">
        <w:rPr>
          <w:rFonts w:ascii="Century Schoolbook" w:hAnsi="Century Schoolbook"/>
          <w:color w:val="000000"/>
          <w:sz w:val="24"/>
          <w:szCs w:val="24"/>
        </w:rPr>
        <w:t xml:space="preserve">eliberate withholding litigation information from plaintiffs and their retained counsel, including plaintiffs who are lead counsel’s clients, must be carefully circumscribed. </w:t>
      </w:r>
      <w:r>
        <w:rPr>
          <w:rFonts w:ascii="Century Schoolbook" w:hAnsi="Century Schoolbook"/>
          <w:color w:val="000000"/>
          <w:sz w:val="24"/>
          <w:szCs w:val="24"/>
        </w:rPr>
        <w:t>Court orders should specify such circumstances.  L</w:t>
      </w:r>
      <w:r w:rsidRPr="00573FA5">
        <w:rPr>
          <w:rFonts w:ascii="Century Schoolbook" w:hAnsi="Century Schoolbook"/>
          <w:color w:val="000000"/>
          <w:sz w:val="24"/>
          <w:szCs w:val="24"/>
        </w:rPr>
        <w:t xml:space="preserve">ead counsel cannot unfairly exploit their interests under a cloak of confidentiality. </w:t>
      </w:r>
      <w:r>
        <w:rPr>
          <w:rFonts w:ascii="Century Schoolbook" w:hAnsi="Century Schoolbook"/>
          <w:color w:val="000000"/>
          <w:sz w:val="24"/>
          <w:szCs w:val="24"/>
        </w:rPr>
        <w:t xml:space="preserve">Thus, </w:t>
      </w:r>
      <w:r w:rsidRPr="00573FA5">
        <w:rPr>
          <w:rFonts w:ascii="Century Schoolbook" w:hAnsi="Century Schoolbook"/>
          <w:color w:val="000000"/>
          <w:sz w:val="24"/>
          <w:szCs w:val="24"/>
        </w:rPr>
        <w:t xml:space="preserve">all plaintiffs should </w:t>
      </w:r>
      <w:r>
        <w:rPr>
          <w:rFonts w:ascii="Century Schoolbook" w:hAnsi="Century Schoolbook"/>
          <w:color w:val="000000"/>
          <w:sz w:val="24"/>
          <w:szCs w:val="24"/>
        </w:rPr>
        <w:t xml:space="preserve">receive equal notice </w:t>
      </w:r>
      <w:r w:rsidRPr="00573FA5">
        <w:rPr>
          <w:rFonts w:ascii="Century Schoolbook" w:hAnsi="Century Schoolbook"/>
          <w:color w:val="000000"/>
          <w:sz w:val="24"/>
          <w:szCs w:val="24"/>
        </w:rPr>
        <w:t xml:space="preserve">of cut-off date for cases </w:t>
      </w:r>
      <w:r>
        <w:rPr>
          <w:rFonts w:ascii="Century Schoolbook" w:hAnsi="Century Schoolbook"/>
          <w:color w:val="000000"/>
          <w:sz w:val="24"/>
          <w:szCs w:val="24"/>
        </w:rPr>
        <w:t xml:space="preserve">for settlement inclusion, and </w:t>
      </w:r>
      <w:r w:rsidRPr="00573FA5">
        <w:rPr>
          <w:rFonts w:ascii="Century Schoolbook" w:hAnsi="Century Schoolbook"/>
          <w:color w:val="000000"/>
          <w:sz w:val="24"/>
          <w:szCs w:val="24"/>
        </w:rPr>
        <w:t xml:space="preserve">lead counsel </w:t>
      </w:r>
      <w:r>
        <w:rPr>
          <w:rFonts w:ascii="Century Schoolbook" w:hAnsi="Century Schoolbook"/>
          <w:color w:val="000000"/>
          <w:sz w:val="24"/>
          <w:szCs w:val="24"/>
        </w:rPr>
        <w:t>may not advantage their personal clients</w:t>
      </w:r>
      <w:r w:rsidRPr="00573FA5">
        <w:rPr>
          <w:rFonts w:ascii="Century Schoolbook" w:hAnsi="Century Schoolbook"/>
          <w:color w:val="000000"/>
          <w:sz w:val="24"/>
          <w:szCs w:val="24"/>
        </w:rPr>
        <w:t xml:space="preserve">. </w:t>
      </w:r>
    </w:p>
    <w:p w:rsidR="00610156" w:rsidRPr="00573FA5" w:rsidRDefault="00610156" w:rsidP="00610156">
      <w:pPr>
        <w:ind w:left="720" w:right="720"/>
        <w:contextualSpacing/>
        <w:rPr>
          <w:rFonts w:ascii="Century Schoolbook" w:hAnsi="Century Schoolbook"/>
          <w:b/>
          <w:smallCaps/>
          <w:color w:val="000000"/>
          <w:sz w:val="24"/>
          <w:szCs w:val="24"/>
        </w:rPr>
      </w:pPr>
    </w:p>
    <w:p w:rsidR="00610156" w:rsidRPr="00573FA5" w:rsidRDefault="00CA3C6F" w:rsidP="00610156">
      <w:pPr>
        <w:ind w:left="720" w:right="720"/>
        <w:contextualSpacing/>
        <w:jc w:val="both"/>
        <w:rPr>
          <w:rFonts w:ascii="Century Schoolbook" w:hAnsi="Century Schoolbook"/>
          <w:b/>
          <w:color w:val="000000"/>
          <w:sz w:val="24"/>
          <w:szCs w:val="24"/>
        </w:rPr>
      </w:pPr>
      <w:r w:rsidRPr="00573FA5">
        <w:rPr>
          <w:rFonts w:ascii="Century Schoolbook" w:hAnsi="Century Schoolbook"/>
          <w:b/>
          <w:smallCaps/>
          <w:color w:val="000000"/>
          <w:sz w:val="24"/>
          <w:szCs w:val="24"/>
        </w:rPr>
        <w:t>MDL Standard 8</w:t>
      </w:r>
      <w:r w:rsidRPr="00573FA5">
        <w:rPr>
          <w:rFonts w:ascii="Century Schoolbook" w:hAnsi="Century Schoolbook"/>
          <w:b/>
          <w:color w:val="000000"/>
          <w:sz w:val="24"/>
          <w:szCs w:val="24"/>
        </w:rPr>
        <w:t xml:space="preserve">: </w:t>
      </w:r>
      <w:r w:rsidRPr="00573FA5">
        <w:rPr>
          <w:rFonts w:ascii="Century Schoolbook" w:hAnsi="Century Schoolbook"/>
          <w:color w:val="000000"/>
          <w:sz w:val="24"/>
          <w:szCs w:val="24"/>
        </w:rPr>
        <w:t>Absent a compelling reason, lead counsel should not disclose confidential information, including confidential settlement discussions, to their own individually-retained clients.</w:t>
      </w:r>
    </w:p>
    <w:p w:rsidR="00610156" w:rsidRPr="00573FA5" w:rsidRDefault="00610156" w:rsidP="00610156">
      <w:pPr>
        <w:ind w:left="720" w:right="720"/>
        <w:contextualSpacing/>
        <w:rPr>
          <w:rFonts w:ascii="Century Schoolbook" w:hAnsi="Century Schoolbook"/>
          <w:color w:val="000000"/>
          <w:sz w:val="24"/>
          <w:szCs w:val="24"/>
        </w:rPr>
      </w:pPr>
    </w:p>
    <w:p w:rsidR="00610156" w:rsidRPr="00573FA5" w:rsidRDefault="00CA3C6F" w:rsidP="00610156">
      <w:pPr>
        <w:ind w:firstLine="720"/>
        <w:contextualSpacing/>
        <w:rPr>
          <w:rFonts w:ascii="Century Schoolbook" w:hAnsi="Century Schoolbook"/>
          <w:color w:val="000000"/>
          <w:sz w:val="24"/>
          <w:szCs w:val="24"/>
        </w:rPr>
      </w:pPr>
      <w:r w:rsidRPr="00573FA5">
        <w:rPr>
          <w:rFonts w:ascii="Century Schoolbook" w:hAnsi="Century Schoolbook"/>
          <w:color w:val="000000"/>
          <w:sz w:val="24"/>
          <w:szCs w:val="24"/>
        </w:rPr>
        <w:t xml:space="preserve">Both traditional fiduciary standards and professional rules of conduct recognize exceptions to the general duties of disclosure if such revelations would violate a “superior duty” owed to another. Lead counsel is generally not obligated to share — and, for the reasons outlined above, generally should refrain from sharing — confidential and sensitive information gained </w:t>
      </w:r>
      <w:r>
        <w:rPr>
          <w:rFonts w:ascii="Century Schoolbook" w:hAnsi="Century Schoolbook"/>
          <w:color w:val="000000"/>
          <w:sz w:val="24"/>
          <w:szCs w:val="24"/>
        </w:rPr>
        <w:t xml:space="preserve">by virtue of their court-appointed position </w:t>
      </w:r>
      <w:r w:rsidRPr="00573FA5">
        <w:rPr>
          <w:rFonts w:ascii="Century Schoolbook" w:hAnsi="Century Schoolbook"/>
          <w:color w:val="000000"/>
          <w:sz w:val="24"/>
          <w:szCs w:val="24"/>
        </w:rPr>
        <w:t xml:space="preserve">with even privately-retained clients, absent some compelling reason to do so. </w:t>
      </w:r>
    </w:p>
    <w:p w:rsidR="00610156" w:rsidRPr="00573FA5" w:rsidRDefault="00610156" w:rsidP="00610156">
      <w:pPr>
        <w:ind w:firstLine="720"/>
        <w:contextualSpacing/>
        <w:rPr>
          <w:rFonts w:ascii="Century Schoolbook" w:hAnsi="Century Schoolbook"/>
          <w:color w:val="000000"/>
          <w:sz w:val="24"/>
          <w:szCs w:val="24"/>
        </w:rPr>
      </w:pPr>
    </w:p>
    <w:p w:rsidR="00610156" w:rsidRDefault="00CA3C6F" w:rsidP="00610156">
      <w:pPr>
        <w:ind w:firstLine="720"/>
        <w:contextualSpacing/>
        <w:rPr>
          <w:rFonts w:ascii="Century Schoolbook" w:hAnsi="Century Schoolbook"/>
          <w:color w:val="000000"/>
          <w:sz w:val="24"/>
          <w:szCs w:val="24"/>
        </w:rPr>
      </w:pPr>
      <w:r>
        <w:rPr>
          <w:rFonts w:ascii="Century Schoolbook" w:hAnsi="Century Schoolbook"/>
          <w:color w:val="000000"/>
          <w:sz w:val="24"/>
          <w:szCs w:val="24"/>
        </w:rPr>
        <w:t>L</w:t>
      </w:r>
      <w:r w:rsidRPr="00573FA5">
        <w:rPr>
          <w:rFonts w:ascii="Century Schoolbook" w:hAnsi="Century Schoolbook"/>
          <w:color w:val="000000"/>
          <w:sz w:val="24"/>
          <w:szCs w:val="24"/>
        </w:rPr>
        <w:t xml:space="preserve">ead counsel is not privy information </w:t>
      </w:r>
      <w:r>
        <w:rPr>
          <w:rFonts w:ascii="Century Schoolbook" w:hAnsi="Century Schoolbook"/>
          <w:color w:val="000000"/>
          <w:sz w:val="24"/>
          <w:szCs w:val="24"/>
        </w:rPr>
        <w:t xml:space="preserve">received in their court-appointed role </w:t>
      </w:r>
      <w:r w:rsidRPr="00573FA5">
        <w:rPr>
          <w:rFonts w:ascii="Century Schoolbook" w:hAnsi="Century Schoolbook"/>
          <w:color w:val="000000"/>
          <w:sz w:val="24"/>
          <w:szCs w:val="24"/>
        </w:rPr>
        <w:t xml:space="preserve">as the representative of </w:t>
      </w:r>
      <w:r>
        <w:rPr>
          <w:rFonts w:ascii="Century Schoolbook" w:hAnsi="Century Schoolbook"/>
          <w:color w:val="000000"/>
          <w:sz w:val="24"/>
          <w:szCs w:val="24"/>
        </w:rPr>
        <w:t xml:space="preserve">their </w:t>
      </w:r>
      <w:r w:rsidRPr="00573FA5">
        <w:rPr>
          <w:rFonts w:ascii="Century Schoolbook" w:hAnsi="Century Schoolbook"/>
          <w:color w:val="000000"/>
          <w:sz w:val="24"/>
          <w:szCs w:val="24"/>
        </w:rPr>
        <w:t>own clients</w:t>
      </w:r>
      <w:r>
        <w:rPr>
          <w:rFonts w:ascii="Century Schoolbook" w:hAnsi="Century Schoolbook"/>
          <w:color w:val="000000"/>
          <w:sz w:val="24"/>
          <w:szCs w:val="24"/>
        </w:rPr>
        <w:t>. Instead,</w:t>
      </w:r>
      <w:r w:rsidRPr="00573FA5">
        <w:rPr>
          <w:rFonts w:ascii="Century Schoolbook" w:hAnsi="Century Schoolbook"/>
          <w:color w:val="000000"/>
          <w:sz w:val="24"/>
          <w:szCs w:val="24"/>
        </w:rPr>
        <w:t xml:space="preserve"> the court has placed lead counsel in that role; </w:t>
      </w:r>
      <w:r>
        <w:rPr>
          <w:rFonts w:ascii="Century Schoolbook" w:hAnsi="Century Schoolbook"/>
          <w:color w:val="000000"/>
          <w:sz w:val="24"/>
          <w:szCs w:val="24"/>
        </w:rPr>
        <w:t xml:space="preserve">a role that is not intended </w:t>
      </w:r>
      <w:r w:rsidRPr="00573FA5">
        <w:rPr>
          <w:rFonts w:ascii="Century Schoolbook" w:hAnsi="Century Schoolbook"/>
          <w:color w:val="000000"/>
          <w:sz w:val="24"/>
          <w:szCs w:val="24"/>
        </w:rPr>
        <w:t>to advance the interests of lead counsel’s clients</w:t>
      </w:r>
      <w:r>
        <w:rPr>
          <w:rFonts w:ascii="Century Schoolbook" w:hAnsi="Century Schoolbook"/>
          <w:color w:val="000000"/>
          <w:sz w:val="24"/>
          <w:szCs w:val="24"/>
        </w:rPr>
        <w:t xml:space="preserve">. Lead counsel </w:t>
      </w:r>
      <w:r w:rsidRPr="00573FA5">
        <w:rPr>
          <w:rFonts w:ascii="Century Schoolbook" w:hAnsi="Century Schoolbook"/>
          <w:color w:val="000000"/>
          <w:sz w:val="24"/>
          <w:szCs w:val="24"/>
        </w:rPr>
        <w:t>serve</w:t>
      </w:r>
      <w:r>
        <w:rPr>
          <w:rFonts w:ascii="Century Schoolbook" w:hAnsi="Century Schoolbook"/>
          <w:color w:val="000000"/>
          <w:sz w:val="24"/>
          <w:szCs w:val="24"/>
        </w:rPr>
        <w:t>s</w:t>
      </w:r>
      <w:r w:rsidRPr="00573FA5">
        <w:rPr>
          <w:rFonts w:ascii="Century Schoolbook" w:hAnsi="Century Schoolbook"/>
          <w:color w:val="000000"/>
          <w:sz w:val="24"/>
          <w:szCs w:val="24"/>
        </w:rPr>
        <w:t xml:space="preserve"> the collective interests of all plaintiffs, </w:t>
      </w:r>
      <w:r w:rsidR="00775EB4">
        <w:rPr>
          <w:rFonts w:ascii="Century Schoolbook" w:hAnsi="Century Schoolbook"/>
          <w:color w:val="000000"/>
          <w:sz w:val="24"/>
          <w:szCs w:val="24"/>
        </w:rPr>
        <w:t xml:space="preserve">and </w:t>
      </w:r>
      <w:r>
        <w:rPr>
          <w:rFonts w:ascii="Century Schoolbook" w:hAnsi="Century Schoolbook"/>
          <w:color w:val="000000"/>
          <w:sz w:val="24"/>
          <w:szCs w:val="24"/>
        </w:rPr>
        <w:t xml:space="preserve">must </w:t>
      </w:r>
      <w:r w:rsidRPr="00573FA5">
        <w:rPr>
          <w:rFonts w:ascii="Century Schoolbook" w:hAnsi="Century Schoolbook"/>
          <w:color w:val="000000"/>
          <w:sz w:val="24"/>
          <w:szCs w:val="24"/>
        </w:rPr>
        <w:t>prosecute and protect the common and collective interests of plaintiffs as a whole.</w:t>
      </w:r>
    </w:p>
    <w:p w:rsidR="00F2448D" w:rsidRDefault="00F2448D" w:rsidP="00610156">
      <w:pPr>
        <w:ind w:firstLine="720"/>
        <w:contextualSpacing/>
        <w:rPr>
          <w:rFonts w:ascii="Century Schoolbook" w:hAnsi="Century Schoolbook"/>
          <w:color w:val="000000"/>
          <w:sz w:val="24"/>
          <w:szCs w:val="24"/>
        </w:rPr>
      </w:pPr>
    </w:p>
    <w:p w:rsidR="00F2448D" w:rsidRDefault="00F2448D" w:rsidP="00610156">
      <w:pPr>
        <w:ind w:firstLine="720"/>
        <w:contextualSpacing/>
        <w:rPr>
          <w:rFonts w:ascii="Century Schoolbook" w:hAnsi="Century Schoolbook"/>
          <w:color w:val="000000"/>
          <w:sz w:val="24"/>
          <w:szCs w:val="24"/>
        </w:rPr>
      </w:pPr>
    </w:p>
    <w:p w:rsidR="009E622F" w:rsidRPr="00573FA5" w:rsidRDefault="009E622F" w:rsidP="00610156">
      <w:pPr>
        <w:ind w:firstLine="720"/>
        <w:contextualSpacing/>
        <w:rPr>
          <w:rFonts w:ascii="Century Schoolbook" w:hAnsi="Century Schoolbook"/>
          <w:color w:val="000000"/>
          <w:sz w:val="24"/>
          <w:szCs w:val="24"/>
        </w:rPr>
      </w:pPr>
    </w:p>
    <w:p w:rsidR="00610156" w:rsidRPr="00573FA5" w:rsidRDefault="00610156" w:rsidP="00610156">
      <w:pPr>
        <w:ind w:left="720" w:right="720"/>
        <w:contextualSpacing/>
        <w:rPr>
          <w:rFonts w:ascii="Century Schoolbook" w:hAnsi="Century Schoolbook"/>
          <w:b/>
          <w:smallCaps/>
          <w:color w:val="000000"/>
          <w:sz w:val="24"/>
          <w:szCs w:val="24"/>
        </w:rPr>
      </w:pPr>
    </w:p>
    <w:p w:rsidR="00610156" w:rsidRPr="00573FA5" w:rsidRDefault="00CA3C6F" w:rsidP="00610156">
      <w:pPr>
        <w:ind w:left="720" w:right="720"/>
        <w:contextualSpacing/>
        <w:rPr>
          <w:rFonts w:ascii="Century Schoolbook" w:hAnsi="Century Schoolbook"/>
          <w:b/>
          <w:color w:val="000000"/>
          <w:sz w:val="24"/>
          <w:szCs w:val="24"/>
        </w:rPr>
      </w:pPr>
      <w:r w:rsidRPr="00573FA5">
        <w:rPr>
          <w:rFonts w:ascii="Century Schoolbook" w:hAnsi="Century Schoolbook"/>
          <w:b/>
          <w:smallCaps/>
          <w:color w:val="000000"/>
          <w:sz w:val="24"/>
          <w:szCs w:val="24"/>
        </w:rPr>
        <w:lastRenderedPageBreak/>
        <w:t>MDL Standard 9</w:t>
      </w:r>
      <w:r w:rsidRPr="00573FA5">
        <w:rPr>
          <w:rFonts w:ascii="Century Schoolbook" w:hAnsi="Century Schoolbook"/>
          <w:b/>
          <w:color w:val="000000"/>
          <w:sz w:val="24"/>
          <w:szCs w:val="24"/>
        </w:rPr>
        <w:t xml:space="preserve">: </w:t>
      </w:r>
      <w:r w:rsidRPr="00573FA5">
        <w:rPr>
          <w:rFonts w:ascii="Century Schoolbook" w:hAnsi="Century Schoolbook"/>
          <w:color w:val="000000"/>
          <w:sz w:val="24"/>
          <w:szCs w:val="24"/>
        </w:rPr>
        <w:t xml:space="preserve">Lead counsel must disclose to individually-retained clients </w:t>
      </w:r>
      <w:r>
        <w:rPr>
          <w:rFonts w:ascii="Century Schoolbook" w:hAnsi="Century Schoolbook"/>
          <w:color w:val="000000"/>
          <w:sz w:val="24"/>
          <w:szCs w:val="24"/>
        </w:rPr>
        <w:t>their</w:t>
      </w:r>
      <w:r w:rsidRPr="00573FA5">
        <w:rPr>
          <w:rFonts w:ascii="Century Schoolbook" w:hAnsi="Century Schoolbook"/>
          <w:color w:val="000000"/>
          <w:sz w:val="24"/>
          <w:szCs w:val="24"/>
        </w:rPr>
        <w:t xml:space="preserve"> role as lead counsel.</w:t>
      </w:r>
      <w:r w:rsidRPr="00573FA5">
        <w:rPr>
          <w:rFonts w:ascii="Century Schoolbook" w:hAnsi="Century Schoolbook"/>
          <w:b/>
          <w:color w:val="000000"/>
          <w:sz w:val="24"/>
          <w:szCs w:val="24"/>
        </w:rPr>
        <w:t xml:space="preserve"> </w:t>
      </w:r>
    </w:p>
    <w:p w:rsidR="00610156" w:rsidRPr="00573FA5" w:rsidRDefault="00610156" w:rsidP="00610156">
      <w:pPr>
        <w:ind w:left="720" w:right="720"/>
        <w:contextualSpacing/>
        <w:rPr>
          <w:rFonts w:ascii="Century Schoolbook" w:hAnsi="Century Schoolbook"/>
          <w:color w:val="000000"/>
          <w:sz w:val="24"/>
          <w:szCs w:val="24"/>
        </w:rPr>
      </w:pPr>
    </w:p>
    <w:p w:rsidR="00610156" w:rsidRPr="00573FA5" w:rsidRDefault="00CA3C6F" w:rsidP="00610156">
      <w:pPr>
        <w:ind w:firstLine="720"/>
        <w:contextualSpacing/>
        <w:rPr>
          <w:rFonts w:ascii="Century Schoolbook" w:hAnsi="Century Schoolbook"/>
          <w:color w:val="000000"/>
          <w:sz w:val="24"/>
          <w:szCs w:val="24"/>
        </w:rPr>
      </w:pPr>
      <w:r w:rsidRPr="00573FA5">
        <w:rPr>
          <w:rFonts w:ascii="Century Schoolbook" w:hAnsi="Century Schoolbook"/>
          <w:color w:val="000000"/>
          <w:sz w:val="24"/>
          <w:szCs w:val="24"/>
        </w:rPr>
        <w:t xml:space="preserve">A lawyer is barred not only from representing interests that are adverse to </w:t>
      </w:r>
      <w:r>
        <w:rPr>
          <w:rFonts w:ascii="Century Schoolbook" w:hAnsi="Century Schoolbook"/>
          <w:color w:val="000000"/>
          <w:sz w:val="24"/>
          <w:szCs w:val="24"/>
        </w:rPr>
        <w:t>a</w:t>
      </w:r>
      <w:r w:rsidRPr="00573FA5">
        <w:rPr>
          <w:rFonts w:ascii="Century Schoolbook" w:hAnsi="Century Schoolbook"/>
          <w:color w:val="000000"/>
          <w:sz w:val="24"/>
          <w:szCs w:val="24"/>
        </w:rPr>
        <w:t xml:space="preserve"> client’s interests but also, under some state ethical rules, from representing a client if the lawyer’s professional judgment on the client’s behalf might be adversely affected by the lawyer’s own personal interest</w:t>
      </w:r>
      <w:r>
        <w:rPr>
          <w:rFonts w:ascii="Century Schoolbook" w:hAnsi="Century Schoolbook"/>
          <w:color w:val="000000"/>
          <w:sz w:val="24"/>
          <w:szCs w:val="24"/>
        </w:rPr>
        <w:t>s</w:t>
      </w:r>
      <w:r w:rsidRPr="00573FA5">
        <w:rPr>
          <w:rFonts w:ascii="Century Schoolbook" w:hAnsi="Century Schoolbook"/>
          <w:color w:val="000000"/>
          <w:sz w:val="24"/>
          <w:szCs w:val="24"/>
        </w:rPr>
        <w:t>. Both traditional fiduciary responsibility and the professional rules of conduct impose affirmative obligations to inform clients about significant developments or decisions affecting their interests, as well as a general duty of full disclosure regarding any</w:t>
      </w:r>
      <w:r>
        <w:rPr>
          <w:rFonts w:ascii="Century Schoolbook" w:hAnsi="Century Schoolbook"/>
          <w:color w:val="000000"/>
          <w:sz w:val="24"/>
          <w:szCs w:val="24"/>
        </w:rPr>
        <w:t xml:space="preserve">thing related to </w:t>
      </w:r>
      <w:r w:rsidRPr="00573FA5">
        <w:rPr>
          <w:rFonts w:ascii="Century Schoolbook" w:hAnsi="Century Schoolbook"/>
          <w:color w:val="000000"/>
          <w:sz w:val="24"/>
          <w:szCs w:val="24"/>
        </w:rPr>
        <w:t>the representation, when asked.</w:t>
      </w:r>
    </w:p>
    <w:p w:rsidR="00610156" w:rsidRPr="00573FA5" w:rsidRDefault="00610156" w:rsidP="00610156">
      <w:pPr>
        <w:ind w:firstLine="720"/>
        <w:contextualSpacing/>
        <w:rPr>
          <w:rFonts w:ascii="Century Schoolbook" w:hAnsi="Century Schoolbook"/>
          <w:color w:val="000000"/>
          <w:sz w:val="24"/>
          <w:szCs w:val="24"/>
        </w:rPr>
      </w:pPr>
    </w:p>
    <w:p w:rsidR="00610156" w:rsidRPr="00573FA5" w:rsidRDefault="00CA3C6F" w:rsidP="00610156">
      <w:pPr>
        <w:ind w:firstLine="720"/>
        <w:contextualSpacing/>
        <w:rPr>
          <w:rFonts w:ascii="Century Schoolbook" w:hAnsi="Century Schoolbook"/>
          <w:color w:val="000000"/>
          <w:sz w:val="24"/>
          <w:szCs w:val="24"/>
        </w:rPr>
      </w:pPr>
      <w:r w:rsidRPr="00573FA5">
        <w:rPr>
          <w:rFonts w:ascii="Century Schoolbook" w:hAnsi="Century Schoolbook"/>
          <w:color w:val="000000"/>
          <w:sz w:val="24"/>
          <w:szCs w:val="24"/>
        </w:rPr>
        <w:t xml:space="preserve"> </w:t>
      </w:r>
      <w:r>
        <w:rPr>
          <w:rFonts w:ascii="Century Schoolbook" w:hAnsi="Century Schoolbook"/>
          <w:color w:val="000000"/>
          <w:sz w:val="24"/>
          <w:szCs w:val="24"/>
        </w:rPr>
        <w:t xml:space="preserve">Professional ethical rules may also limit </w:t>
      </w:r>
      <w:r w:rsidRPr="00573FA5">
        <w:rPr>
          <w:rFonts w:ascii="Century Schoolbook" w:hAnsi="Century Schoolbook"/>
          <w:color w:val="000000"/>
          <w:sz w:val="24"/>
          <w:szCs w:val="24"/>
        </w:rPr>
        <w:t>defendants and defense counsel from making certain types of settlement offers that, by their nature, create a conflict that did not previously exist.</w:t>
      </w:r>
    </w:p>
    <w:p w:rsidR="00610156" w:rsidRPr="00573FA5" w:rsidRDefault="00610156" w:rsidP="00610156">
      <w:pPr>
        <w:ind w:firstLine="720"/>
        <w:contextualSpacing/>
        <w:rPr>
          <w:rFonts w:ascii="Century Schoolbook" w:hAnsi="Century Schoolbook"/>
          <w:smallCaps/>
          <w:color w:val="000000"/>
          <w:sz w:val="24"/>
          <w:szCs w:val="24"/>
        </w:rPr>
      </w:pPr>
    </w:p>
    <w:p w:rsidR="00610156" w:rsidRPr="00573FA5" w:rsidRDefault="00CA3C6F" w:rsidP="00610156">
      <w:pPr>
        <w:ind w:left="720" w:right="720"/>
        <w:contextualSpacing/>
        <w:jc w:val="both"/>
        <w:rPr>
          <w:rFonts w:ascii="Century Schoolbook" w:hAnsi="Century Schoolbook"/>
          <w:i/>
          <w:color w:val="000000"/>
          <w:sz w:val="24"/>
          <w:szCs w:val="24"/>
        </w:rPr>
      </w:pPr>
      <w:r w:rsidRPr="00573FA5">
        <w:rPr>
          <w:rFonts w:ascii="Century Schoolbook" w:hAnsi="Century Schoolbook"/>
          <w:smallCaps/>
          <w:color w:val="000000"/>
          <w:sz w:val="24"/>
          <w:szCs w:val="24"/>
        </w:rPr>
        <w:t>Best Practice 9A</w:t>
      </w:r>
      <w:r w:rsidRPr="00573FA5">
        <w:rPr>
          <w:rFonts w:ascii="Century Schoolbook" w:hAnsi="Century Schoolbook"/>
          <w:color w:val="000000"/>
          <w:sz w:val="24"/>
          <w:szCs w:val="24"/>
        </w:rPr>
        <w:t>: As soon as possible after appointment, lead counsel should advise individually-retained clients how the appointment may implicate the clients’ interests, including participation in decision-making dealing with selection of bellwether trials, allocation of common-benefit funds, litigation management strategy, and settlement negotiations.</w:t>
      </w:r>
      <w:r w:rsidRPr="00573FA5">
        <w:rPr>
          <w:rFonts w:ascii="Century Schoolbook" w:hAnsi="Century Schoolbook"/>
          <w:i/>
          <w:color w:val="000000"/>
          <w:sz w:val="24"/>
          <w:szCs w:val="24"/>
        </w:rPr>
        <w:t xml:space="preserve"> </w:t>
      </w:r>
    </w:p>
    <w:p w:rsidR="00610156" w:rsidRPr="00573FA5" w:rsidRDefault="00610156" w:rsidP="00610156">
      <w:pPr>
        <w:ind w:left="720" w:right="720"/>
        <w:contextualSpacing/>
        <w:rPr>
          <w:rFonts w:ascii="Century Schoolbook" w:hAnsi="Century Schoolbook"/>
          <w:i/>
          <w:color w:val="000000"/>
          <w:sz w:val="24"/>
          <w:szCs w:val="24"/>
        </w:rPr>
      </w:pPr>
    </w:p>
    <w:p w:rsidR="00610156" w:rsidRPr="00573FA5" w:rsidRDefault="00CA3C6F" w:rsidP="00610156">
      <w:pPr>
        <w:ind w:firstLine="720"/>
        <w:contextualSpacing/>
        <w:rPr>
          <w:rFonts w:ascii="Century Schoolbook" w:hAnsi="Century Schoolbook"/>
          <w:color w:val="000000"/>
          <w:sz w:val="24"/>
          <w:szCs w:val="24"/>
        </w:rPr>
      </w:pPr>
      <w:r w:rsidRPr="00573FA5">
        <w:rPr>
          <w:rFonts w:ascii="Century Schoolbook" w:hAnsi="Century Schoolbook"/>
          <w:color w:val="000000"/>
          <w:sz w:val="24"/>
          <w:szCs w:val="24"/>
        </w:rPr>
        <w:t>Lead counsel</w:t>
      </w:r>
      <w:r>
        <w:rPr>
          <w:rFonts w:ascii="Century Schoolbook" w:hAnsi="Century Schoolbook"/>
          <w:color w:val="000000"/>
          <w:sz w:val="24"/>
          <w:szCs w:val="24"/>
        </w:rPr>
        <w:t>’s</w:t>
      </w:r>
      <w:r w:rsidRPr="00573FA5">
        <w:rPr>
          <w:rFonts w:ascii="Century Schoolbook" w:hAnsi="Century Schoolbook"/>
          <w:color w:val="000000"/>
          <w:sz w:val="24"/>
          <w:szCs w:val="24"/>
        </w:rPr>
        <w:t xml:space="preserve"> involve</w:t>
      </w:r>
      <w:r>
        <w:rPr>
          <w:rFonts w:ascii="Century Schoolbook" w:hAnsi="Century Schoolbook"/>
          <w:color w:val="000000"/>
          <w:sz w:val="24"/>
          <w:szCs w:val="24"/>
        </w:rPr>
        <w:t>ment</w:t>
      </w:r>
      <w:r w:rsidRPr="00573FA5">
        <w:rPr>
          <w:rFonts w:ascii="Century Schoolbook" w:hAnsi="Century Schoolbook"/>
          <w:color w:val="000000"/>
          <w:sz w:val="24"/>
          <w:szCs w:val="24"/>
        </w:rPr>
        <w:t xml:space="preserve"> in selecting bellwether trials, allocating common-benefit funds, and making general strategic-litigation management and settlement decisions, may implicate the interests of lead counsel’s individually-retained clients. Lead counsel must advise </w:t>
      </w:r>
      <w:r>
        <w:rPr>
          <w:rFonts w:ascii="Century Schoolbook" w:hAnsi="Century Schoolbook"/>
          <w:color w:val="000000"/>
          <w:sz w:val="24"/>
          <w:szCs w:val="24"/>
        </w:rPr>
        <w:t xml:space="preserve">their own </w:t>
      </w:r>
      <w:r w:rsidRPr="00573FA5">
        <w:rPr>
          <w:rFonts w:ascii="Century Schoolbook" w:hAnsi="Century Schoolbook"/>
          <w:color w:val="000000"/>
          <w:sz w:val="24"/>
          <w:szCs w:val="24"/>
        </w:rPr>
        <w:t>clients that in making these decisions, the</w:t>
      </w:r>
      <w:r>
        <w:rPr>
          <w:rFonts w:ascii="Century Schoolbook" w:hAnsi="Century Schoolbook"/>
          <w:color w:val="000000"/>
          <w:sz w:val="24"/>
          <w:szCs w:val="24"/>
        </w:rPr>
        <w:t>ir duty to the court to act for the</w:t>
      </w:r>
      <w:r w:rsidRPr="00573FA5">
        <w:rPr>
          <w:rFonts w:ascii="Century Schoolbook" w:hAnsi="Century Schoolbook"/>
          <w:color w:val="000000"/>
          <w:sz w:val="24"/>
          <w:szCs w:val="24"/>
        </w:rPr>
        <w:t xml:space="preserve"> common and collective interest of all plaintiffs will come first. </w:t>
      </w:r>
    </w:p>
    <w:p w:rsidR="00610156" w:rsidRPr="00573FA5" w:rsidRDefault="00610156" w:rsidP="00610156">
      <w:pPr>
        <w:ind w:firstLine="720"/>
        <w:contextualSpacing/>
        <w:rPr>
          <w:rFonts w:ascii="Century Schoolbook" w:hAnsi="Century Schoolbook"/>
          <w:color w:val="000000"/>
          <w:sz w:val="24"/>
          <w:szCs w:val="24"/>
        </w:rPr>
      </w:pPr>
    </w:p>
    <w:p w:rsidR="00610156" w:rsidRPr="00573FA5" w:rsidRDefault="00CA3C6F" w:rsidP="00610156">
      <w:pPr>
        <w:ind w:firstLine="720"/>
        <w:contextualSpacing/>
        <w:rPr>
          <w:rFonts w:ascii="Century Schoolbook" w:hAnsi="Century Schoolbook"/>
          <w:color w:val="000000"/>
          <w:sz w:val="24"/>
          <w:szCs w:val="24"/>
        </w:rPr>
      </w:pPr>
      <w:r>
        <w:rPr>
          <w:rFonts w:ascii="Century Schoolbook" w:hAnsi="Century Schoolbook"/>
          <w:color w:val="000000"/>
          <w:sz w:val="24"/>
          <w:szCs w:val="24"/>
        </w:rPr>
        <w:t>L</w:t>
      </w:r>
      <w:r w:rsidRPr="00573FA5">
        <w:rPr>
          <w:rFonts w:ascii="Century Schoolbook" w:hAnsi="Century Schoolbook"/>
          <w:color w:val="000000"/>
          <w:sz w:val="24"/>
          <w:szCs w:val="24"/>
        </w:rPr>
        <w:t xml:space="preserve">ead counsel </w:t>
      </w:r>
      <w:r>
        <w:rPr>
          <w:rFonts w:ascii="Century Schoolbook" w:hAnsi="Century Schoolbook"/>
          <w:color w:val="000000"/>
          <w:sz w:val="24"/>
          <w:szCs w:val="24"/>
        </w:rPr>
        <w:t xml:space="preserve">must </w:t>
      </w:r>
      <w:r w:rsidRPr="00573FA5">
        <w:rPr>
          <w:rFonts w:ascii="Century Schoolbook" w:hAnsi="Century Schoolbook"/>
          <w:color w:val="000000"/>
          <w:sz w:val="24"/>
          <w:szCs w:val="24"/>
        </w:rPr>
        <w:t>fully and meaningfully inform individually-retained clients of the implications of each of these decisions as soon as possible</w:t>
      </w:r>
      <w:r>
        <w:rPr>
          <w:rFonts w:ascii="Century Schoolbook" w:hAnsi="Century Schoolbook"/>
          <w:color w:val="000000"/>
          <w:sz w:val="24"/>
          <w:szCs w:val="24"/>
        </w:rPr>
        <w:t>,</w:t>
      </w:r>
      <w:r w:rsidRPr="00573FA5">
        <w:rPr>
          <w:rFonts w:ascii="Century Schoolbook" w:hAnsi="Century Schoolbook"/>
          <w:color w:val="000000"/>
          <w:sz w:val="24"/>
          <w:szCs w:val="24"/>
        </w:rPr>
        <w:t xml:space="preserve"> so that the client can make an informed decision whether to continue </w:t>
      </w:r>
      <w:r>
        <w:rPr>
          <w:rFonts w:ascii="Century Schoolbook" w:hAnsi="Century Schoolbook"/>
          <w:color w:val="000000"/>
          <w:sz w:val="24"/>
          <w:szCs w:val="24"/>
        </w:rPr>
        <w:t>the representation</w:t>
      </w:r>
      <w:r w:rsidRPr="00573FA5">
        <w:rPr>
          <w:rFonts w:ascii="Century Schoolbook" w:hAnsi="Century Schoolbook"/>
          <w:color w:val="000000"/>
          <w:sz w:val="24"/>
          <w:szCs w:val="24"/>
        </w:rPr>
        <w:t>. For example, if expenses incurred in presenting a bellwether trial are treated as shared expenses to be paid from the common benefit fund, lead counsel should inform clients of the possible allocation.</w:t>
      </w:r>
    </w:p>
    <w:p w:rsidR="00610156" w:rsidRPr="00573FA5" w:rsidRDefault="00610156" w:rsidP="00610156">
      <w:pPr>
        <w:ind w:firstLine="720"/>
        <w:contextualSpacing/>
        <w:rPr>
          <w:rFonts w:ascii="Century Schoolbook" w:hAnsi="Century Schoolbook"/>
          <w:color w:val="000000"/>
          <w:sz w:val="24"/>
          <w:szCs w:val="24"/>
        </w:rPr>
      </w:pPr>
    </w:p>
    <w:p w:rsidR="00610156" w:rsidRPr="00573FA5" w:rsidRDefault="00CA3C6F" w:rsidP="00610156">
      <w:pPr>
        <w:ind w:firstLine="720"/>
        <w:contextualSpacing/>
        <w:rPr>
          <w:rFonts w:ascii="Century Schoolbook" w:hAnsi="Century Schoolbook"/>
          <w:color w:val="000000"/>
          <w:sz w:val="24"/>
          <w:szCs w:val="24"/>
        </w:rPr>
      </w:pPr>
      <w:r w:rsidRPr="00573FA5">
        <w:rPr>
          <w:rFonts w:ascii="Century Schoolbook" w:hAnsi="Century Schoolbook"/>
          <w:color w:val="000000"/>
          <w:sz w:val="24"/>
          <w:szCs w:val="24"/>
        </w:rPr>
        <w:t xml:space="preserve">Lead counsel should explain </w:t>
      </w:r>
      <w:r>
        <w:rPr>
          <w:rFonts w:ascii="Century Schoolbook" w:hAnsi="Century Schoolbook"/>
          <w:color w:val="000000"/>
          <w:sz w:val="24"/>
          <w:szCs w:val="24"/>
        </w:rPr>
        <w:t xml:space="preserve">if </w:t>
      </w:r>
      <w:r w:rsidRPr="00573FA5">
        <w:rPr>
          <w:rFonts w:ascii="Century Schoolbook" w:hAnsi="Century Schoolbook"/>
          <w:color w:val="000000"/>
          <w:sz w:val="24"/>
          <w:szCs w:val="24"/>
        </w:rPr>
        <w:t xml:space="preserve">the value of individual cases can be maximized in an MDL, </w:t>
      </w:r>
      <w:r>
        <w:rPr>
          <w:rFonts w:ascii="Century Schoolbook" w:hAnsi="Century Schoolbook"/>
          <w:color w:val="000000"/>
          <w:sz w:val="24"/>
          <w:szCs w:val="24"/>
        </w:rPr>
        <w:t xml:space="preserve">to </w:t>
      </w:r>
      <w:r w:rsidRPr="00573FA5">
        <w:rPr>
          <w:rFonts w:ascii="Century Schoolbook" w:hAnsi="Century Schoolbook"/>
          <w:color w:val="000000"/>
          <w:sz w:val="24"/>
          <w:szCs w:val="24"/>
        </w:rPr>
        <w:t>reduce expenses, including expenses of the individually-retained client, that would otherwise lower a net recovery</w:t>
      </w:r>
      <w:r>
        <w:rPr>
          <w:rFonts w:ascii="Century Schoolbook" w:hAnsi="Century Schoolbook"/>
          <w:color w:val="000000"/>
          <w:sz w:val="24"/>
          <w:szCs w:val="24"/>
        </w:rPr>
        <w:t xml:space="preserve"> in any settlement</w:t>
      </w:r>
      <w:r w:rsidRPr="00573FA5">
        <w:rPr>
          <w:rFonts w:ascii="Century Schoolbook" w:hAnsi="Century Schoolbook"/>
          <w:color w:val="000000"/>
          <w:sz w:val="24"/>
          <w:szCs w:val="24"/>
        </w:rPr>
        <w:t xml:space="preserve">. </w:t>
      </w:r>
      <w:r>
        <w:rPr>
          <w:rFonts w:ascii="Century Schoolbook" w:hAnsi="Century Schoolbook"/>
          <w:color w:val="000000"/>
          <w:sz w:val="24"/>
          <w:szCs w:val="24"/>
        </w:rPr>
        <w:t>D</w:t>
      </w:r>
      <w:r w:rsidRPr="00573FA5">
        <w:rPr>
          <w:rFonts w:ascii="Century Schoolbook" w:hAnsi="Century Schoolbook"/>
          <w:color w:val="000000"/>
          <w:sz w:val="24"/>
          <w:szCs w:val="24"/>
        </w:rPr>
        <w:t xml:space="preserve">isclosure should also </w:t>
      </w:r>
      <w:r>
        <w:rPr>
          <w:rFonts w:ascii="Century Schoolbook" w:hAnsi="Century Schoolbook"/>
          <w:color w:val="000000"/>
          <w:sz w:val="24"/>
          <w:szCs w:val="24"/>
        </w:rPr>
        <w:t xml:space="preserve">explain </w:t>
      </w:r>
      <w:r w:rsidRPr="00573FA5">
        <w:rPr>
          <w:rFonts w:ascii="Century Schoolbook" w:hAnsi="Century Schoolbook"/>
          <w:color w:val="000000"/>
          <w:sz w:val="24"/>
          <w:szCs w:val="24"/>
        </w:rPr>
        <w:t xml:space="preserve">that neither lead counsel, nor any individual plaintiff’s counsel, can compel the defendant to negotiate “globally” with </w:t>
      </w:r>
      <w:r>
        <w:rPr>
          <w:rFonts w:ascii="Century Schoolbook" w:hAnsi="Century Schoolbook"/>
          <w:color w:val="000000"/>
          <w:sz w:val="24"/>
          <w:szCs w:val="24"/>
        </w:rPr>
        <w:t>all</w:t>
      </w:r>
      <w:r w:rsidRPr="00573FA5">
        <w:rPr>
          <w:rFonts w:ascii="Century Schoolbook" w:hAnsi="Century Schoolbook"/>
          <w:color w:val="000000"/>
          <w:sz w:val="24"/>
          <w:szCs w:val="24"/>
        </w:rPr>
        <w:t xml:space="preserve"> similarly-situated</w:t>
      </w:r>
      <w:r>
        <w:rPr>
          <w:rFonts w:ascii="Century Schoolbook" w:hAnsi="Century Schoolbook"/>
          <w:color w:val="000000"/>
          <w:sz w:val="24"/>
          <w:szCs w:val="24"/>
        </w:rPr>
        <w:t>,</w:t>
      </w:r>
      <w:r w:rsidRPr="00573FA5">
        <w:rPr>
          <w:rFonts w:ascii="Century Schoolbook" w:hAnsi="Century Schoolbook"/>
          <w:color w:val="000000"/>
          <w:sz w:val="24"/>
          <w:szCs w:val="24"/>
        </w:rPr>
        <w:t xml:space="preserve"> or all</w:t>
      </w:r>
      <w:r>
        <w:rPr>
          <w:rFonts w:ascii="Century Schoolbook" w:hAnsi="Century Schoolbook"/>
          <w:color w:val="000000"/>
          <w:sz w:val="24"/>
          <w:szCs w:val="24"/>
        </w:rPr>
        <w:t>,</w:t>
      </w:r>
      <w:r w:rsidRPr="00573FA5">
        <w:rPr>
          <w:rFonts w:ascii="Century Schoolbook" w:hAnsi="Century Schoolbook"/>
          <w:color w:val="000000"/>
          <w:sz w:val="24"/>
          <w:szCs w:val="24"/>
        </w:rPr>
        <w:t xml:space="preserve"> plaintiffs on a uniform or transparent basis. </w:t>
      </w:r>
      <w:r>
        <w:rPr>
          <w:rFonts w:ascii="Century Schoolbook" w:hAnsi="Century Schoolbook"/>
          <w:color w:val="000000"/>
          <w:sz w:val="24"/>
          <w:szCs w:val="24"/>
        </w:rPr>
        <w:t xml:space="preserve">Individually-retained clients should also be told that lead counsel </w:t>
      </w:r>
      <w:r w:rsidRPr="00573FA5">
        <w:rPr>
          <w:rFonts w:ascii="Century Schoolbook" w:hAnsi="Century Schoolbook"/>
          <w:color w:val="000000"/>
          <w:sz w:val="24"/>
          <w:szCs w:val="24"/>
        </w:rPr>
        <w:t xml:space="preserve">cannot prevent a defendant from </w:t>
      </w:r>
      <w:r>
        <w:rPr>
          <w:rFonts w:ascii="Century Schoolbook" w:hAnsi="Century Schoolbook"/>
          <w:color w:val="000000"/>
          <w:sz w:val="24"/>
          <w:szCs w:val="24"/>
        </w:rPr>
        <w:t>offering</w:t>
      </w:r>
      <w:r w:rsidRPr="00573FA5">
        <w:rPr>
          <w:rFonts w:ascii="Century Schoolbook" w:hAnsi="Century Schoolbook"/>
          <w:color w:val="000000"/>
          <w:sz w:val="24"/>
          <w:szCs w:val="24"/>
        </w:rPr>
        <w:t xml:space="preserve"> favorable </w:t>
      </w:r>
      <w:r w:rsidRPr="00573FA5">
        <w:rPr>
          <w:rFonts w:ascii="Century Schoolbook" w:hAnsi="Century Schoolbook"/>
          <w:color w:val="000000"/>
          <w:sz w:val="24"/>
          <w:szCs w:val="24"/>
        </w:rPr>
        <w:lastRenderedPageBreak/>
        <w:t>“inventory” settlement</w:t>
      </w:r>
      <w:r>
        <w:rPr>
          <w:rFonts w:ascii="Century Schoolbook" w:hAnsi="Century Schoolbook"/>
          <w:color w:val="000000"/>
          <w:sz w:val="24"/>
          <w:szCs w:val="24"/>
        </w:rPr>
        <w:t>s</w:t>
      </w:r>
      <w:r w:rsidRPr="00573FA5">
        <w:rPr>
          <w:rFonts w:ascii="Century Schoolbook" w:hAnsi="Century Schoolbook"/>
          <w:color w:val="000000"/>
          <w:sz w:val="24"/>
          <w:szCs w:val="24"/>
        </w:rPr>
        <w:t xml:space="preserve"> to some but not all parties, from making offers to bellwether or test plaintiffs whose cases are set for trial, or from otherwise making offers or refusing to make offers to any one or more individual plaintiffs or plaintiff’s counsel. </w:t>
      </w:r>
    </w:p>
    <w:p w:rsidR="00610156" w:rsidRPr="00573FA5" w:rsidRDefault="00610156" w:rsidP="00610156">
      <w:pPr>
        <w:ind w:left="720" w:right="720"/>
        <w:contextualSpacing/>
        <w:rPr>
          <w:rFonts w:ascii="Century Schoolbook" w:hAnsi="Century Schoolbook"/>
          <w:smallCaps/>
          <w:color w:val="000000"/>
          <w:sz w:val="24"/>
          <w:szCs w:val="24"/>
        </w:rPr>
      </w:pPr>
    </w:p>
    <w:p w:rsidR="00610156" w:rsidRPr="00573FA5" w:rsidRDefault="00CA3C6F" w:rsidP="00610156">
      <w:pPr>
        <w:ind w:left="720" w:right="720"/>
        <w:contextualSpacing/>
        <w:jc w:val="both"/>
        <w:rPr>
          <w:rFonts w:ascii="Century Schoolbook" w:hAnsi="Century Schoolbook"/>
          <w:i/>
          <w:color w:val="000000"/>
          <w:sz w:val="24"/>
          <w:szCs w:val="24"/>
        </w:rPr>
      </w:pPr>
      <w:r w:rsidRPr="00573FA5">
        <w:rPr>
          <w:rFonts w:ascii="Century Schoolbook" w:hAnsi="Century Schoolbook"/>
          <w:smallCaps/>
          <w:color w:val="000000"/>
          <w:sz w:val="24"/>
          <w:szCs w:val="24"/>
        </w:rPr>
        <w:t>Best Practice 9B</w:t>
      </w:r>
      <w:r w:rsidRPr="00573FA5">
        <w:rPr>
          <w:rFonts w:ascii="Century Schoolbook" w:hAnsi="Century Schoolbook"/>
          <w:color w:val="000000"/>
          <w:sz w:val="24"/>
          <w:szCs w:val="24"/>
        </w:rPr>
        <w:t xml:space="preserve">: When </w:t>
      </w:r>
      <w:r>
        <w:rPr>
          <w:rFonts w:ascii="Century Schoolbook" w:hAnsi="Century Schoolbook"/>
          <w:color w:val="000000"/>
          <w:sz w:val="24"/>
          <w:szCs w:val="24"/>
        </w:rPr>
        <w:t xml:space="preserve">considering </w:t>
      </w:r>
      <w:r w:rsidRPr="00573FA5">
        <w:rPr>
          <w:rFonts w:ascii="Century Schoolbook" w:hAnsi="Century Schoolbook"/>
          <w:color w:val="000000"/>
          <w:sz w:val="24"/>
          <w:szCs w:val="24"/>
        </w:rPr>
        <w:t xml:space="preserve">an inventory or global settlement, lead counsel should fully inform individually-retained clients of the implications of the lead counsel appointment. </w:t>
      </w:r>
    </w:p>
    <w:p w:rsidR="00610156" w:rsidRPr="00573FA5" w:rsidRDefault="00610156" w:rsidP="00610156">
      <w:pPr>
        <w:ind w:left="720" w:right="720"/>
        <w:contextualSpacing/>
        <w:rPr>
          <w:rFonts w:ascii="Century Schoolbook" w:hAnsi="Century Schoolbook"/>
          <w:i/>
          <w:color w:val="000000"/>
          <w:sz w:val="24"/>
          <w:szCs w:val="24"/>
        </w:rPr>
      </w:pPr>
    </w:p>
    <w:p w:rsidR="00610156" w:rsidRPr="00573FA5" w:rsidRDefault="00CA3C6F" w:rsidP="00610156">
      <w:pPr>
        <w:ind w:firstLine="720"/>
        <w:contextualSpacing/>
        <w:rPr>
          <w:rFonts w:ascii="Century Schoolbook" w:hAnsi="Century Schoolbook"/>
          <w:color w:val="000000"/>
          <w:sz w:val="24"/>
          <w:szCs w:val="24"/>
        </w:rPr>
      </w:pPr>
      <w:r w:rsidRPr="00573FA5">
        <w:rPr>
          <w:rFonts w:ascii="Century Schoolbook" w:hAnsi="Century Schoolbook"/>
          <w:color w:val="000000"/>
          <w:sz w:val="24"/>
          <w:szCs w:val="24"/>
        </w:rPr>
        <w:t>When lead counsel negotiat</w:t>
      </w:r>
      <w:r>
        <w:rPr>
          <w:rFonts w:ascii="Century Schoolbook" w:hAnsi="Century Schoolbook"/>
          <w:color w:val="000000"/>
          <w:sz w:val="24"/>
          <w:szCs w:val="24"/>
        </w:rPr>
        <w:t>e</w:t>
      </w:r>
      <w:r w:rsidRPr="00573FA5">
        <w:rPr>
          <w:rFonts w:ascii="Century Schoolbook" w:hAnsi="Century Schoolbook"/>
          <w:color w:val="000000"/>
          <w:sz w:val="24"/>
          <w:szCs w:val="24"/>
        </w:rPr>
        <w:t xml:space="preserve"> an individual settlement for </w:t>
      </w:r>
      <w:r>
        <w:rPr>
          <w:rFonts w:ascii="Century Schoolbook" w:hAnsi="Century Schoolbook"/>
          <w:color w:val="000000"/>
          <w:sz w:val="24"/>
          <w:szCs w:val="24"/>
        </w:rPr>
        <w:t xml:space="preserve">their </w:t>
      </w:r>
      <w:r w:rsidRPr="00573FA5">
        <w:rPr>
          <w:rFonts w:ascii="Century Schoolbook" w:hAnsi="Century Schoolbook"/>
          <w:color w:val="000000"/>
          <w:sz w:val="24"/>
          <w:szCs w:val="24"/>
        </w:rPr>
        <w:t xml:space="preserve">own clients, or a multi-plaintiff proposed settlement on behalf of </w:t>
      </w:r>
      <w:r>
        <w:rPr>
          <w:rFonts w:ascii="Century Schoolbook" w:hAnsi="Century Schoolbook"/>
          <w:color w:val="000000"/>
          <w:sz w:val="24"/>
          <w:szCs w:val="24"/>
        </w:rPr>
        <w:t xml:space="preserve">their </w:t>
      </w:r>
      <w:r w:rsidRPr="00573FA5">
        <w:rPr>
          <w:rFonts w:ascii="Century Schoolbook" w:hAnsi="Century Schoolbook"/>
          <w:color w:val="000000"/>
          <w:sz w:val="24"/>
          <w:szCs w:val="24"/>
        </w:rPr>
        <w:t xml:space="preserve"> own clients and other plaintiffs in the MDL, </w:t>
      </w:r>
      <w:r>
        <w:rPr>
          <w:rFonts w:ascii="Century Schoolbook" w:hAnsi="Century Schoolbook"/>
          <w:color w:val="000000"/>
          <w:sz w:val="24"/>
          <w:szCs w:val="24"/>
        </w:rPr>
        <w:t xml:space="preserve">lead counsel’s </w:t>
      </w:r>
      <w:r w:rsidRPr="00573FA5">
        <w:rPr>
          <w:rFonts w:ascii="Century Schoolbook" w:hAnsi="Century Schoolbook"/>
          <w:color w:val="000000"/>
          <w:sz w:val="24"/>
          <w:szCs w:val="24"/>
        </w:rPr>
        <w:t xml:space="preserve">duties to </w:t>
      </w:r>
      <w:r>
        <w:rPr>
          <w:rFonts w:ascii="Century Schoolbook" w:hAnsi="Century Schoolbook"/>
          <w:color w:val="000000"/>
          <w:sz w:val="24"/>
          <w:szCs w:val="24"/>
        </w:rPr>
        <w:t xml:space="preserve">their </w:t>
      </w:r>
      <w:r w:rsidRPr="00573FA5">
        <w:rPr>
          <w:rFonts w:ascii="Century Schoolbook" w:hAnsi="Century Schoolbook"/>
          <w:color w:val="000000"/>
          <w:sz w:val="24"/>
          <w:szCs w:val="24"/>
        </w:rPr>
        <w:t xml:space="preserve">privately-retained clients </w:t>
      </w:r>
      <w:r>
        <w:rPr>
          <w:rFonts w:ascii="Century Schoolbook" w:hAnsi="Century Schoolbook"/>
          <w:color w:val="000000"/>
          <w:sz w:val="24"/>
          <w:szCs w:val="24"/>
        </w:rPr>
        <w:t>can conflict with the requirements of their lead counsel role.</w:t>
      </w:r>
    </w:p>
    <w:p w:rsidR="00610156" w:rsidRPr="00573FA5" w:rsidRDefault="00610156" w:rsidP="00610156">
      <w:pPr>
        <w:ind w:firstLine="720"/>
        <w:contextualSpacing/>
        <w:rPr>
          <w:rFonts w:ascii="Century Schoolbook" w:hAnsi="Century Schoolbook"/>
          <w:color w:val="000000"/>
          <w:sz w:val="24"/>
          <w:szCs w:val="24"/>
        </w:rPr>
      </w:pPr>
    </w:p>
    <w:p w:rsidR="00610156" w:rsidRPr="00573FA5" w:rsidRDefault="00CA3C6F" w:rsidP="00610156">
      <w:pPr>
        <w:ind w:firstLine="720"/>
        <w:contextualSpacing/>
        <w:rPr>
          <w:rFonts w:ascii="Century Schoolbook" w:hAnsi="Century Schoolbook"/>
          <w:color w:val="000000"/>
          <w:sz w:val="24"/>
          <w:szCs w:val="24"/>
        </w:rPr>
      </w:pPr>
      <w:r>
        <w:rPr>
          <w:rFonts w:ascii="Century Schoolbook" w:hAnsi="Century Schoolbook"/>
          <w:color w:val="000000"/>
          <w:sz w:val="24"/>
          <w:szCs w:val="24"/>
        </w:rPr>
        <w:t>A</w:t>
      </w:r>
      <w:r w:rsidRPr="00573FA5">
        <w:rPr>
          <w:rFonts w:ascii="Century Schoolbook" w:hAnsi="Century Schoolbook"/>
          <w:color w:val="000000"/>
          <w:sz w:val="24"/>
          <w:szCs w:val="24"/>
        </w:rPr>
        <w:t xml:space="preserve"> proposed settlement negotiated by lead counsel must, like any other settlement, be structured </w:t>
      </w:r>
      <w:r>
        <w:rPr>
          <w:rFonts w:ascii="Century Schoolbook" w:hAnsi="Century Schoolbook"/>
          <w:color w:val="000000"/>
          <w:sz w:val="24"/>
          <w:szCs w:val="24"/>
        </w:rPr>
        <w:t>to</w:t>
      </w:r>
      <w:r w:rsidRPr="00573FA5">
        <w:rPr>
          <w:rFonts w:ascii="Century Schoolbook" w:hAnsi="Century Schoolbook"/>
          <w:color w:val="000000"/>
          <w:sz w:val="24"/>
          <w:szCs w:val="24"/>
        </w:rPr>
        <w:t xml:space="preserve"> bind no plaintiff unless</w:t>
      </w:r>
      <w:r>
        <w:rPr>
          <w:rFonts w:ascii="Century Schoolbook" w:hAnsi="Century Schoolbook"/>
          <w:color w:val="000000"/>
          <w:sz w:val="24"/>
          <w:szCs w:val="24"/>
        </w:rPr>
        <w:t>:  (1)</w:t>
      </w:r>
      <w:r w:rsidRPr="00573FA5">
        <w:rPr>
          <w:rFonts w:ascii="Century Schoolbook" w:hAnsi="Century Schoolbook"/>
          <w:color w:val="000000"/>
          <w:sz w:val="24"/>
          <w:szCs w:val="24"/>
        </w:rPr>
        <w:t xml:space="preserve">each participating plaintiff </w:t>
      </w:r>
      <w:r>
        <w:rPr>
          <w:rFonts w:ascii="Century Schoolbook" w:hAnsi="Century Schoolbook"/>
          <w:color w:val="000000"/>
          <w:sz w:val="24"/>
          <w:szCs w:val="24"/>
        </w:rPr>
        <w:t xml:space="preserve">receives </w:t>
      </w:r>
      <w:r w:rsidRPr="00573FA5">
        <w:rPr>
          <w:rFonts w:ascii="Century Schoolbook" w:hAnsi="Century Schoolbook"/>
          <w:color w:val="000000"/>
          <w:sz w:val="24"/>
          <w:szCs w:val="24"/>
        </w:rPr>
        <w:t>affirmative and fully informed consent</w:t>
      </w:r>
      <w:r>
        <w:rPr>
          <w:rFonts w:ascii="Century Schoolbook" w:hAnsi="Century Schoolbook"/>
          <w:color w:val="000000"/>
          <w:sz w:val="24"/>
          <w:szCs w:val="24"/>
        </w:rPr>
        <w:t>; or (2)</w:t>
      </w:r>
      <w:r w:rsidRPr="00573FA5">
        <w:rPr>
          <w:rFonts w:ascii="Century Schoolbook" w:hAnsi="Century Schoolbook"/>
          <w:color w:val="000000"/>
          <w:sz w:val="24"/>
          <w:szCs w:val="24"/>
        </w:rPr>
        <w:t xml:space="preserve"> a class </w:t>
      </w:r>
      <w:r>
        <w:rPr>
          <w:rFonts w:ascii="Century Schoolbook" w:hAnsi="Century Schoolbook"/>
          <w:color w:val="000000"/>
          <w:sz w:val="24"/>
          <w:szCs w:val="24"/>
        </w:rPr>
        <w:t xml:space="preserve">action </w:t>
      </w:r>
      <w:r w:rsidRPr="00573FA5">
        <w:rPr>
          <w:rFonts w:ascii="Century Schoolbook" w:hAnsi="Century Schoolbook"/>
          <w:color w:val="000000"/>
          <w:sz w:val="24"/>
          <w:szCs w:val="24"/>
        </w:rPr>
        <w:t xml:space="preserve">proceeding </w:t>
      </w:r>
      <w:r>
        <w:rPr>
          <w:rFonts w:ascii="Century Schoolbook" w:hAnsi="Century Schoolbook"/>
          <w:color w:val="000000"/>
          <w:sz w:val="24"/>
          <w:szCs w:val="24"/>
        </w:rPr>
        <w:t xml:space="preserve">involving public review of the </w:t>
      </w:r>
      <w:r w:rsidRPr="00573FA5">
        <w:rPr>
          <w:rFonts w:ascii="Century Schoolbook" w:hAnsi="Century Schoolbook"/>
          <w:color w:val="000000"/>
          <w:sz w:val="24"/>
          <w:szCs w:val="24"/>
        </w:rPr>
        <w:t xml:space="preserve">settlement agreement </w:t>
      </w:r>
      <w:r>
        <w:rPr>
          <w:rFonts w:ascii="Century Schoolbook" w:hAnsi="Century Schoolbook"/>
          <w:color w:val="000000"/>
          <w:sz w:val="24"/>
          <w:szCs w:val="24"/>
        </w:rPr>
        <w:t xml:space="preserve">with </w:t>
      </w:r>
      <w:r w:rsidRPr="00573FA5">
        <w:rPr>
          <w:rFonts w:ascii="Century Schoolbook" w:hAnsi="Century Schoolbook"/>
          <w:color w:val="000000"/>
          <w:sz w:val="24"/>
          <w:szCs w:val="24"/>
        </w:rPr>
        <w:t>absent parties protected by court approval</w:t>
      </w:r>
      <w:r>
        <w:rPr>
          <w:rFonts w:ascii="Century Schoolbook" w:hAnsi="Century Schoolbook"/>
          <w:color w:val="000000"/>
          <w:sz w:val="24"/>
          <w:szCs w:val="24"/>
        </w:rPr>
        <w:t>,</w:t>
      </w:r>
      <w:r w:rsidRPr="00573FA5">
        <w:rPr>
          <w:rFonts w:ascii="Century Schoolbook" w:hAnsi="Century Schoolbook"/>
          <w:color w:val="000000"/>
          <w:sz w:val="24"/>
          <w:szCs w:val="24"/>
        </w:rPr>
        <w:t xml:space="preserve"> notice</w:t>
      </w:r>
      <w:r>
        <w:rPr>
          <w:rFonts w:ascii="Century Schoolbook" w:hAnsi="Century Schoolbook"/>
          <w:color w:val="000000"/>
          <w:sz w:val="24"/>
          <w:szCs w:val="24"/>
        </w:rPr>
        <w:t>,</w:t>
      </w:r>
      <w:r w:rsidRPr="00573FA5">
        <w:rPr>
          <w:rFonts w:ascii="Century Schoolbook" w:hAnsi="Century Schoolbook"/>
          <w:color w:val="000000"/>
          <w:sz w:val="24"/>
          <w:szCs w:val="24"/>
        </w:rPr>
        <w:t xml:space="preserve"> and the right to opt out. </w:t>
      </w:r>
      <w:r>
        <w:rPr>
          <w:rFonts w:ascii="Century Schoolbook" w:hAnsi="Century Schoolbook"/>
          <w:color w:val="000000"/>
          <w:sz w:val="24"/>
          <w:szCs w:val="24"/>
        </w:rPr>
        <w:t xml:space="preserve">In MDLs </w:t>
      </w:r>
      <w:r w:rsidRPr="00573FA5">
        <w:rPr>
          <w:rFonts w:ascii="Century Schoolbook" w:hAnsi="Century Schoolbook"/>
          <w:color w:val="000000"/>
          <w:sz w:val="24"/>
          <w:szCs w:val="24"/>
        </w:rPr>
        <w:t xml:space="preserve">questions frequently </w:t>
      </w:r>
      <w:r>
        <w:rPr>
          <w:rFonts w:ascii="Century Schoolbook" w:hAnsi="Century Schoolbook"/>
          <w:color w:val="000000"/>
          <w:sz w:val="24"/>
          <w:szCs w:val="24"/>
        </w:rPr>
        <w:t xml:space="preserve">arise </w:t>
      </w:r>
      <w:r w:rsidRPr="00573FA5">
        <w:rPr>
          <w:rFonts w:ascii="Century Schoolbook" w:hAnsi="Century Schoolbook"/>
          <w:color w:val="000000"/>
          <w:sz w:val="24"/>
          <w:szCs w:val="24"/>
        </w:rPr>
        <w:t>with respect to:</w:t>
      </w:r>
    </w:p>
    <w:p w:rsidR="00610156" w:rsidRPr="00573FA5" w:rsidRDefault="00610156" w:rsidP="00610156">
      <w:pPr>
        <w:ind w:firstLine="720"/>
        <w:contextualSpacing/>
        <w:rPr>
          <w:rFonts w:ascii="Century Schoolbook" w:hAnsi="Century Schoolbook"/>
          <w:color w:val="000000"/>
          <w:sz w:val="24"/>
          <w:szCs w:val="24"/>
        </w:rPr>
      </w:pPr>
    </w:p>
    <w:p w:rsidR="00610156" w:rsidRPr="00817CE3" w:rsidRDefault="00CA3C6F" w:rsidP="00610156">
      <w:pPr>
        <w:pStyle w:val="ListParagraph"/>
        <w:numPr>
          <w:ilvl w:val="0"/>
          <w:numId w:val="4"/>
        </w:numPr>
        <w:ind w:right="720"/>
        <w:contextualSpacing/>
        <w:rPr>
          <w:rFonts w:ascii="Century Schoolbook" w:hAnsi="Century Schoolbook"/>
          <w:color w:val="000000"/>
          <w:sz w:val="24"/>
          <w:szCs w:val="24"/>
        </w:rPr>
      </w:pPr>
      <w:r w:rsidRPr="00817CE3">
        <w:rPr>
          <w:rFonts w:ascii="Century Schoolbook" w:hAnsi="Century Schoolbook"/>
          <w:color w:val="000000"/>
          <w:sz w:val="24"/>
          <w:szCs w:val="24"/>
        </w:rPr>
        <w:t xml:space="preserve">Lead counsel’s negotiation of a settlement on behalf of </w:t>
      </w:r>
      <w:r>
        <w:rPr>
          <w:rFonts w:ascii="Century Schoolbook" w:hAnsi="Century Schoolbook"/>
          <w:color w:val="000000"/>
          <w:sz w:val="24"/>
          <w:szCs w:val="24"/>
        </w:rPr>
        <w:t>their</w:t>
      </w:r>
      <w:r w:rsidRPr="00817CE3">
        <w:rPr>
          <w:rFonts w:ascii="Century Schoolbook" w:hAnsi="Century Schoolbook"/>
          <w:color w:val="000000"/>
          <w:sz w:val="24"/>
          <w:szCs w:val="24"/>
        </w:rPr>
        <w:t xml:space="preserve"> own clients (whether on an “inventory” basis </w:t>
      </w:r>
      <w:r>
        <w:rPr>
          <w:rFonts w:ascii="Century Schoolbook" w:hAnsi="Century Schoolbook"/>
          <w:color w:val="000000"/>
          <w:sz w:val="24"/>
          <w:szCs w:val="24"/>
        </w:rPr>
        <w:t>or for some subset of</w:t>
      </w:r>
      <w:r w:rsidRPr="00817CE3">
        <w:rPr>
          <w:rFonts w:ascii="Century Schoolbook" w:hAnsi="Century Schoolbook"/>
          <w:color w:val="000000"/>
          <w:sz w:val="24"/>
          <w:szCs w:val="24"/>
        </w:rPr>
        <w:t xml:space="preserve"> individual clients) in the absence of similar settlements offered to all, or virtually all, other plaintiffs’ counsel or plaintiffs;</w:t>
      </w:r>
    </w:p>
    <w:p w:rsidR="00610156" w:rsidRPr="00817CE3" w:rsidRDefault="00CA3C6F" w:rsidP="00610156">
      <w:pPr>
        <w:pStyle w:val="ListParagraph"/>
        <w:numPr>
          <w:ilvl w:val="0"/>
          <w:numId w:val="4"/>
        </w:numPr>
        <w:ind w:right="720"/>
        <w:contextualSpacing/>
        <w:rPr>
          <w:rFonts w:ascii="Century Schoolbook" w:hAnsi="Century Schoolbook"/>
          <w:color w:val="000000"/>
          <w:sz w:val="24"/>
          <w:szCs w:val="24"/>
        </w:rPr>
      </w:pPr>
      <w:r w:rsidRPr="00817CE3">
        <w:rPr>
          <w:rFonts w:ascii="Century Schoolbook" w:hAnsi="Century Schoolbook"/>
          <w:color w:val="000000"/>
          <w:sz w:val="24"/>
          <w:szCs w:val="24"/>
        </w:rPr>
        <w:t xml:space="preserve">Lead counsel’s negotiation of a settlement on behalf of </w:t>
      </w:r>
      <w:r>
        <w:rPr>
          <w:rFonts w:ascii="Century Schoolbook" w:hAnsi="Century Schoolbook"/>
          <w:color w:val="000000"/>
          <w:sz w:val="24"/>
          <w:szCs w:val="24"/>
        </w:rPr>
        <w:t>their</w:t>
      </w:r>
      <w:r w:rsidRPr="00817CE3">
        <w:rPr>
          <w:rFonts w:ascii="Century Schoolbook" w:hAnsi="Century Schoolbook"/>
          <w:color w:val="000000"/>
          <w:sz w:val="24"/>
          <w:szCs w:val="24"/>
        </w:rPr>
        <w:t xml:space="preserve"> own clients </w:t>
      </w:r>
      <w:r>
        <w:rPr>
          <w:rFonts w:ascii="Century Schoolbook" w:hAnsi="Century Schoolbook"/>
          <w:color w:val="000000"/>
          <w:sz w:val="24"/>
          <w:szCs w:val="24"/>
        </w:rPr>
        <w:t xml:space="preserve">simultaneously with </w:t>
      </w:r>
      <w:r w:rsidRPr="00817CE3">
        <w:rPr>
          <w:rFonts w:ascii="Century Schoolbook" w:hAnsi="Century Schoolbook"/>
          <w:color w:val="000000"/>
          <w:sz w:val="24"/>
          <w:szCs w:val="24"/>
        </w:rPr>
        <w:t xml:space="preserve">a “global” settlement </w:t>
      </w:r>
      <w:r>
        <w:rPr>
          <w:rFonts w:ascii="Century Schoolbook" w:hAnsi="Century Schoolbook"/>
          <w:color w:val="000000"/>
          <w:sz w:val="24"/>
          <w:szCs w:val="24"/>
        </w:rPr>
        <w:t xml:space="preserve">they are </w:t>
      </w:r>
      <w:r w:rsidRPr="00817CE3">
        <w:rPr>
          <w:rFonts w:ascii="Century Schoolbook" w:hAnsi="Century Schoolbook"/>
          <w:color w:val="000000"/>
          <w:sz w:val="24"/>
          <w:szCs w:val="24"/>
        </w:rPr>
        <w:t>negotiat</w:t>
      </w:r>
      <w:r>
        <w:rPr>
          <w:rFonts w:ascii="Century Schoolbook" w:hAnsi="Century Schoolbook"/>
          <w:color w:val="000000"/>
          <w:sz w:val="24"/>
          <w:szCs w:val="24"/>
        </w:rPr>
        <w:t>ing</w:t>
      </w:r>
      <w:r w:rsidRPr="00817CE3">
        <w:rPr>
          <w:rFonts w:ascii="Century Schoolbook" w:hAnsi="Century Schoolbook"/>
          <w:color w:val="000000"/>
          <w:sz w:val="24"/>
          <w:szCs w:val="24"/>
        </w:rPr>
        <w:t xml:space="preserve"> </w:t>
      </w:r>
      <w:r>
        <w:rPr>
          <w:rFonts w:ascii="Century Schoolbook" w:hAnsi="Century Schoolbook"/>
          <w:color w:val="000000"/>
          <w:sz w:val="24"/>
          <w:szCs w:val="24"/>
        </w:rPr>
        <w:t xml:space="preserve">as </w:t>
      </w:r>
      <w:r w:rsidRPr="00817CE3">
        <w:rPr>
          <w:rFonts w:ascii="Century Schoolbook" w:hAnsi="Century Schoolbook"/>
          <w:color w:val="000000"/>
          <w:sz w:val="24"/>
          <w:szCs w:val="24"/>
        </w:rPr>
        <w:t xml:space="preserve">lead counsel on behalf of other plaintiffs; </w:t>
      </w:r>
    </w:p>
    <w:p w:rsidR="00610156" w:rsidRPr="00817CE3" w:rsidRDefault="00CA3C6F" w:rsidP="00610156">
      <w:pPr>
        <w:pStyle w:val="ListParagraph"/>
        <w:numPr>
          <w:ilvl w:val="0"/>
          <w:numId w:val="4"/>
        </w:numPr>
        <w:ind w:right="720"/>
        <w:contextualSpacing/>
        <w:rPr>
          <w:rFonts w:ascii="Century Schoolbook" w:hAnsi="Century Schoolbook"/>
          <w:color w:val="000000"/>
          <w:sz w:val="24"/>
          <w:szCs w:val="24"/>
        </w:rPr>
      </w:pPr>
      <w:r w:rsidRPr="00817CE3">
        <w:rPr>
          <w:rFonts w:ascii="Century Schoolbook" w:hAnsi="Century Schoolbook"/>
          <w:color w:val="000000"/>
          <w:sz w:val="24"/>
          <w:szCs w:val="24"/>
        </w:rPr>
        <w:t>Lead counsel’s negotiation of a “global” settlement that arguably favor</w:t>
      </w:r>
      <w:r>
        <w:rPr>
          <w:rFonts w:ascii="Century Schoolbook" w:hAnsi="Century Schoolbook"/>
          <w:color w:val="000000"/>
          <w:sz w:val="24"/>
          <w:szCs w:val="24"/>
        </w:rPr>
        <w:t>s</w:t>
      </w:r>
      <w:r w:rsidRPr="00817CE3">
        <w:rPr>
          <w:rFonts w:ascii="Century Schoolbook" w:hAnsi="Century Schoolbook"/>
          <w:color w:val="000000"/>
          <w:sz w:val="24"/>
          <w:szCs w:val="24"/>
        </w:rPr>
        <w:t xml:space="preserve"> lead counsel’s own clients; or</w:t>
      </w:r>
    </w:p>
    <w:p w:rsidR="00610156" w:rsidRPr="00817CE3" w:rsidRDefault="00CA3C6F" w:rsidP="00610156">
      <w:pPr>
        <w:pStyle w:val="ListParagraph"/>
        <w:numPr>
          <w:ilvl w:val="0"/>
          <w:numId w:val="4"/>
        </w:numPr>
        <w:ind w:right="720"/>
        <w:contextualSpacing/>
        <w:rPr>
          <w:rFonts w:ascii="Century Schoolbook" w:hAnsi="Century Schoolbook"/>
          <w:color w:val="000000"/>
          <w:sz w:val="24"/>
          <w:szCs w:val="24"/>
        </w:rPr>
      </w:pPr>
      <w:r w:rsidRPr="00817CE3">
        <w:rPr>
          <w:rFonts w:ascii="Century Schoolbook" w:hAnsi="Century Schoolbook"/>
          <w:color w:val="000000"/>
          <w:sz w:val="24"/>
          <w:szCs w:val="24"/>
        </w:rPr>
        <w:t xml:space="preserve">Lead counsel’s negotiation of a “global”-type settlement that excludes some of lead counsel’s own clients or affords them less compensation than </w:t>
      </w:r>
      <w:r>
        <w:rPr>
          <w:rFonts w:ascii="Century Schoolbook" w:hAnsi="Century Schoolbook"/>
          <w:color w:val="000000"/>
          <w:sz w:val="24"/>
          <w:szCs w:val="24"/>
        </w:rPr>
        <w:t xml:space="preserve">they </w:t>
      </w:r>
      <w:r w:rsidRPr="00817CE3">
        <w:rPr>
          <w:rFonts w:ascii="Century Schoolbook" w:hAnsi="Century Schoolbook"/>
          <w:color w:val="000000"/>
          <w:sz w:val="24"/>
          <w:szCs w:val="24"/>
        </w:rPr>
        <w:t>arguably otherwise could have been attained.</w:t>
      </w:r>
      <w:r>
        <w:rPr>
          <w:rStyle w:val="FootnoteReference"/>
          <w:rFonts w:ascii="Century Schoolbook" w:hAnsi="Century Schoolbook"/>
          <w:color w:val="000000"/>
          <w:sz w:val="24"/>
          <w:szCs w:val="24"/>
        </w:rPr>
        <w:footnoteReference w:id="43"/>
      </w:r>
    </w:p>
    <w:p w:rsidR="00610156" w:rsidRPr="00573FA5" w:rsidRDefault="00CA3C6F" w:rsidP="00610156">
      <w:pPr>
        <w:contextualSpacing/>
        <w:rPr>
          <w:rFonts w:ascii="Century Schoolbook" w:hAnsi="Century Schoolbook"/>
          <w:color w:val="000000"/>
          <w:sz w:val="24"/>
          <w:szCs w:val="24"/>
        </w:rPr>
      </w:pPr>
      <w:r w:rsidRPr="00573FA5">
        <w:rPr>
          <w:rFonts w:ascii="Century Schoolbook" w:hAnsi="Century Schoolbook"/>
          <w:color w:val="000000"/>
          <w:sz w:val="24"/>
          <w:szCs w:val="24"/>
        </w:rPr>
        <w:t xml:space="preserve"> </w:t>
      </w:r>
    </w:p>
    <w:p w:rsidR="00610156" w:rsidRPr="00573FA5" w:rsidRDefault="00CA3C6F" w:rsidP="00610156">
      <w:pPr>
        <w:ind w:left="720" w:right="720"/>
        <w:contextualSpacing/>
        <w:jc w:val="both"/>
        <w:rPr>
          <w:rFonts w:ascii="Century Schoolbook" w:hAnsi="Century Schoolbook"/>
          <w:i/>
          <w:color w:val="000000"/>
          <w:sz w:val="24"/>
          <w:szCs w:val="24"/>
        </w:rPr>
      </w:pPr>
      <w:r w:rsidRPr="00573FA5">
        <w:rPr>
          <w:rFonts w:ascii="Century Schoolbook" w:hAnsi="Century Schoolbook"/>
          <w:smallCaps/>
          <w:color w:val="000000"/>
          <w:sz w:val="24"/>
          <w:szCs w:val="24"/>
        </w:rPr>
        <w:t>Best Practice 9C</w:t>
      </w:r>
      <w:r w:rsidRPr="00573FA5">
        <w:rPr>
          <w:rFonts w:ascii="Century Schoolbook" w:hAnsi="Century Schoolbook"/>
          <w:color w:val="000000"/>
          <w:sz w:val="24"/>
          <w:szCs w:val="24"/>
        </w:rPr>
        <w:t xml:space="preserve">: Lead counsel must remain faithful to </w:t>
      </w:r>
      <w:r>
        <w:rPr>
          <w:rFonts w:ascii="Century Schoolbook" w:hAnsi="Century Schoolbook"/>
          <w:color w:val="000000"/>
          <w:sz w:val="24"/>
          <w:szCs w:val="24"/>
        </w:rPr>
        <w:t xml:space="preserve">their </w:t>
      </w:r>
      <w:r w:rsidRPr="00573FA5">
        <w:rPr>
          <w:rFonts w:ascii="Century Schoolbook" w:hAnsi="Century Schoolbook"/>
          <w:color w:val="000000"/>
          <w:sz w:val="24"/>
          <w:szCs w:val="24"/>
        </w:rPr>
        <w:t xml:space="preserve">obligations to the court as delineated in </w:t>
      </w:r>
      <w:r>
        <w:rPr>
          <w:rFonts w:ascii="Century Schoolbook" w:hAnsi="Century Schoolbook"/>
          <w:color w:val="000000"/>
          <w:sz w:val="24"/>
          <w:szCs w:val="24"/>
        </w:rPr>
        <w:t>the</w:t>
      </w:r>
      <w:r w:rsidRPr="00573FA5">
        <w:rPr>
          <w:rFonts w:ascii="Century Schoolbook" w:hAnsi="Century Schoolbook"/>
          <w:color w:val="000000"/>
          <w:sz w:val="24"/>
          <w:szCs w:val="24"/>
        </w:rPr>
        <w:t xml:space="preserve"> appointment order when engaging in confidential settlement discussions for individually-retained clients.</w:t>
      </w:r>
    </w:p>
    <w:p w:rsidR="00610156" w:rsidRPr="00573FA5" w:rsidRDefault="00610156" w:rsidP="00610156">
      <w:pPr>
        <w:ind w:left="720" w:right="720"/>
        <w:contextualSpacing/>
        <w:rPr>
          <w:rFonts w:ascii="Century Schoolbook" w:hAnsi="Century Schoolbook"/>
          <w:i/>
          <w:color w:val="000000"/>
          <w:sz w:val="24"/>
          <w:szCs w:val="24"/>
        </w:rPr>
      </w:pPr>
    </w:p>
    <w:p w:rsidR="00610156" w:rsidRDefault="00CA3C6F" w:rsidP="00610156">
      <w:pPr>
        <w:contextualSpacing/>
        <w:rPr>
          <w:rFonts w:ascii="Century Schoolbook" w:hAnsi="Century Schoolbook"/>
          <w:color w:val="000000"/>
          <w:sz w:val="24"/>
          <w:szCs w:val="24"/>
        </w:rPr>
      </w:pPr>
      <w:r w:rsidRPr="00573FA5">
        <w:rPr>
          <w:rFonts w:ascii="Century Schoolbook" w:hAnsi="Century Schoolbook"/>
          <w:color w:val="000000"/>
          <w:sz w:val="24"/>
          <w:szCs w:val="24"/>
        </w:rPr>
        <w:tab/>
        <w:t xml:space="preserve">If lead counsel </w:t>
      </w:r>
      <w:r>
        <w:rPr>
          <w:rFonts w:ascii="Century Schoolbook" w:hAnsi="Century Schoolbook"/>
          <w:color w:val="000000"/>
          <w:sz w:val="24"/>
          <w:szCs w:val="24"/>
        </w:rPr>
        <w:t xml:space="preserve">opens </w:t>
      </w:r>
      <w:r w:rsidRPr="00573FA5">
        <w:rPr>
          <w:rFonts w:ascii="Century Schoolbook" w:hAnsi="Century Schoolbook"/>
          <w:color w:val="000000"/>
          <w:sz w:val="24"/>
          <w:szCs w:val="24"/>
        </w:rPr>
        <w:t xml:space="preserve">settlement negotiations </w:t>
      </w:r>
      <w:r>
        <w:rPr>
          <w:rFonts w:ascii="Century Schoolbook" w:hAnsi="Century Schoolbook"/>
          <w:color w:val="000000"/>
          <w:sz w:val="24"/>
          <w:szCs w:val="24"/>
        </w:rPr>
        <w:t xml:space="preserve">for </w:t>
      </w:r>
      <w:r w:rsidRPr="00573FA5">
        <w:rPr>
          <w:rFonts w:ascii="Century Schoolbook" w:hAnsi="Century Schoolbook"/>
          <w:color w:val="000000"/>
          <w:sz w:val="24"/>
          <w:szCs w:val="24"/>
        </w:rPr>
        <w:t>only lead counsel</w:t>
      </w:r>
      <w:r>
        <w:rPr>
          <w:rFonts w:ascii="Century Schoolbook" w:hAnsi="Century Schoolbook"/>
          <w:color w:val="000000"/>
          <w:sz w:val="24"/>
          <w:szCs w:val="24"/>
        </w:rPr>
        <w:t>’s</w:t>
      </w:r>
      <w:r w:rsidRPr="00573FA5">
        <w:rPr>
          <w:rFonts w:ascii="Century Schoolbook" w:hAnsi="Century Schoolbook"/>
          <w:color w:val="000000"/>
          <w:sz w:val="24"/>
          <w:szCs w:val="24"/>
        </w:rPr>
        <w:t xml:space="preserve"> own individually-retained clients, a </w:t>
      </w:r>
      <w:r w:rsidR="00775EB4">
        <w:rPr>
          <w:rFonts w:ascii="Century Schoolbook" w:hAnsi="Century Schoolbook"/>
          <w:color w:val="000000"/>
          <w:sz w:val="24"/>
          <w:szCs w:val="24"/>
        </w:rPr>
        <w:t xml:space="preserve">potential </w:t>
      </w:r>
      <w:r w:rsidRPr="00573FA5">
        <w:rPr>
          <w:rFonts w:ascii="Century Schoolbook" w:hAnsi="Century Schoolbook"/>
          <w:color w:val="000000"/>
          <w:sz w:val="24"/>
          <w:szCs w:val="24"/>
        </w:rPr>
        <w:t xml:space="preserve">conflict arises between retained clients’ </w:t>
      </w:r>
      <w:r w:rsidRPr="00573FA5">
        <w:rPr>
          <w:rFonts w:ascii="Century Schoolbook" w:hAnsi="Century Schoolbook"/>
          <w:color w:val="000000"/>
          <w:sz w:val="24"/>
          <w:szCs w:val="24"/>
        </w:rPr>
        <w:lastRenderedPageBreak/>
        <w:t xml:space="preserve">interests and interests of the rest of the plaintiffs. </w:t>
      </w:r>
      <w:r>
        <w:rPr>
          <w:rFonts w:ascii="Century Schoolbook" w:hAnsi="Century Schoolbook"/>
          <w:color w:val="000000"/>
          <w:sz w:val="24"/>
          <w:szCs w:val="24"/>
        </w:rPr>
        <w:t xml:space="preserve">The concern exists </w:t>
      </w:r>
      <w:r w:rsidRPr="00573FA5">
        <w:rPr>
          <w:rFonts w:ascii="Century Schoolbook" w:hAnsi="Century Schoolbook"/>
          <w:color w:val="000000"/>
          <w:sz w:val="24"/>
          <w:szCs w:val="24"/>
        </w:rPr>
        <w:t xml:space="preserve">that lead counsel will </w:t>
      </w:r>
      <w:r>
        <w:rPr>
          <w:rFonts w:ascii="Century Schoolbook" w:hAnsi="Century Schoolbook"/>
          <w:color w:val="000000"/>
          <w:sz w:val="24"/>
          <w:szCs w:val="24"/>
        </w:rPr>
        <w:t xml:space="preserve">be influenced by </w:t>
      </w:r>
      <w:r w:rsidRPr="00573FA5">
        <w:rPr>
          <w:rFonts w:ascii="Century Schoolbook" w:hAnsi="Century Schoolbook"/>
          <w:color w:val="000000"/>
          <w:sz w:val="24"/>
          <w:szCs w:val="24"/>
        </w:rPr>
        <w:t>generous settlement terms for lead counsel’s individually-retained clients</w:t>
      </w:r>
      <w:r>
        <w:rPr>
          <w:rFonts w:ascii="Century Schoolbook" w:hAnsi="Century Schoolbook"/>
          <w:color w:val="000000"/>
          <w:sz w:val="24"/>
          <w:szCs w:val="24"/>
        </w:rPr>
        <w:t xml:space="preserve"> when making </w:t>
      </w:r>
      <w:r w:rsidRPr="00573FA5">
        <w:rPr>
          <w:rFonts w:ascii="Century Schoolbook" w:hAnsi="Century Schoolbook"/>
          <w:color w:val="000000"/>
          <w:sz w:val="24"/>
          <w:szCs w:val="24"/>
        </w:rPr>
        <w:t xml:space="preserve">settlement demands for </w:t>
      </w:r>
      <w:r>
        <w:rPr>
          <w:rFonts w:ascii="Century Schoolbook" w:hAnsi="Century Schoolbook"/>
          <w:color w:val="000000"/>
          <w:sz w:val="24"/>
          <w:szCs w:val="24"/>
        </w:rPr>
        <w:t xml:space="preserve">the MDL </w:t>
      </w:r>
      <w:r w:rsidRPr="00573FA5">
        <w:rPr>
          <w:rFonts w:ascii="Century Schoolbook" w:hAnsi="Century Schoolbook"/>
          <w:color w:val="000000"/>
          <w:sz w:val="24"/>
          <w:szCs w:val="24"/>
        </w:rPr>
        <w:t>plaintiffs</w:t>
      </w:r>
      <w:r>
        <w:rPr>
          <w:rFonts w:ascii="Century Schoolbook" w:hAnsi="Century Schoolbook"/>
          <w:color w:val="000000"/>
          <w:sz w:val="24"/>
          <w:szCs w:val="24"/>
        </w:rPr>
        <w:t xml:space="preserve"> as a whole</w:t>
      </w:r>
      <w:r w:rsidRPr="00573FA5">
        <w:rPr>
          <w:rFonts w:ascii="Century Schoolbook" w:hAnsi="Century Schoolbook"/>
          <w:color w:val="000000"/>
          <w:sz w:val="24"/>
          <w:szCs w:val="24"/>
        </w:rPr>
        <w:t xml:space="preserve">. </w:t>
      </w:r>
      <w:r>
        <w:rPr>
          <w:rFonts w:ascii="Century Schoolbook" w:hAnsi="Century Schoolbook"/>
          <w:color w:val="000000"/>
          <w:sz w:val="24"/>
          <w:szCs w:val="24"/>
        </w:rPr>
        <w:t xml:space="preserve">Resignation from the lead counsel position is the surest way to avoid any appearance of impropriety, but </w:t>
      </w:r>
      <w:r w:rsidRPr="00573FA5">
        <w:rPr>
          <w:rFonts w:ascii="Century Schoolbook" w:hAnsi="Century Schoolbook"/>
          <w:color w:val="000000"/>
          <w:sz w:val="24"/>
          <w:szCs w:val="24"/>
        </w:rPr>
        <w:t>resignation is not typical</w:t>
      </w:r>
      <w:r w:rsidR="00775EB4">
        <w:rPr>
          <w:rFonts w:ascii="Century Schoolbook" w:hAnsi="Century Schoolbook"/>
          <w:color w:val="000000"/>
          <w:sz w:val="24"/>
          <w:szCs w:val="24"/>
        </w:rPr>
        <w:t xml:space="preserve"> nor necessary in most instances</w:t>
      </w:r>
      <w:r w:rsidRPr="00573FA5">
        <w:rPr>
          <w:rFonts w:ascii="Century Schoolbook" w:hAnsi="Century Schoolbook"/>
          <w:color w:val="000000"/>
          <w:sz w:val="24"/>
          <w:szCs w:val="24"/>
        </w:rPr>
        <w:t>.</w:t>
      </w:r>
    </w:p>
    <w:p w:rsidR="00610156" w:rsidRDefault="00610156" w:rsidP="00610156">
      <w:pPr>
        <w:contextualSpacing/>
        <w:rPr>
          <w:rFonts w:ascii="Century Schoolbook" w:hAnsi="Century Schoolbook"/>
          <w:color w:val="000000"/>
          <w:sz w:val="24"/>
          <w:szCs w:val="24"/>
        </w:rPr>
      </w:pPr>
    </w:p>
    <w:p w:rsidR="00610156" w:rsidRPr="00573FA5" w:rsidRDefault="00CA3C6F" w:rsidP="00610156">
      <w:pPr>
        <w:contextualSpacing/>
        <w:rPr>
          <w:rFonts w:ascii="Century Schoolbook" w:hAnsi="Century Schoolbook"/>
          <w:color w:val="000000"/>
          <w:sz w:val="24"/>
          <w:szCs w:val="24"/>
        </w:rPr>
      </w:pPr>
      <w:r>
        <w:rPr>
          <w:rFonts w:ascii="Century Schoolbook" w:hAnsi="Century Schoolbook"/>
          <w:color w:val="000000"/>
          <w:sz w:val="24"/>
          <w:szCs w:val="24"/>
        </w:rPr>
        <w:tab/>
        <w:t>So</w:t>
      </w:r>
      <w:r w:rsidRPr="00573FA5">
        <w:rPr>
          <w:rFonts w:ascii="Century Schoolbook" w:hAnsi="Century Schoolbook"/>
          <w:color w:val="000000"/>
          <w:sz w:val="24"/>
          <w:szCs w:val="24"/>
        </w:rPr>
        <w:t xml:space="preserve"> long as lead counsel faithfully carries out the</w:t>
      </w:r>
      <w:r>
        <w:rPr>
          <w:rFonts w:ascii="Century Schoolbook" w:hAnsi="Century Schoolbook"/>
          <w:color w:val="000000"/>
          <w:sz w:val="24"/>
          <w:szCs w:val="24"/>
        </w:rPr>
        <w:t>ir</w:t>
      </w:r>
      <w:r w:rsidRPr="00573FA5">
        <w:rPr>
          <w:rFonts w:ascii="Century Schoolbook" w:hAnsi="Century Schoolbook"/>
          <w:color w:val="000000"/>
          <w:sz w:val="24"/>
          <w:szCs w:val="24"/>
        </w:rPr>
        <w:t xml:space="preserve"> functions and responsibilities on behalf of all plaintiffs</w:t>
      </w:r>
      <w:r>
        <w:rPr>
          <w:rFonts w:ascii="Century Schoolbook" w:hAnsi="Century Schoolbook"/>
          <w:color w:val="000000"/>
          <w:sz w:val="24"/>
          <w:szCs w:val="24"/>
        </w:rPr>
        <w:t xml:space="preserve">, as </w:t>
      </w:r>
      <w:r w:rsidRPr="00573FA5">
        <w:rPr>
          <w:rFonts w:ascii="Century Schoolbook" w:hAnsi="Century Schoolbook"/>
          <w:color w:val="000000"/>
          <w:sz w:val="24"/>
          <w:szCs w:val="24"/>
        </w:rPr>
        <w:t>delineated in the appointment order</w:t>
      </w:r>
      <w:r>
        <w:rPr>
          <w:rFonts w:ascii="Century Schoolbook" w:hAnsi="Century Schoolbook"/>
          <w:color w:val="000000"/>
          <w:sz w:val="24"/>
          <w:szCs w:val="24"/>
        </w:rPr>
        <w:t>,</w:t>
      </w:r>
      <w:r w:rsidRPr="00573FA5">
        <w:rPr>
          <w:rFonts w:ascii="Century Schoolbook" w:hAnsi="Century Schoolbook"/>
          <w:color w:val="000000"/>
          <w:sz w:val="24"/>
          <w:szCs w:val="24"/>
        </w:rPr>
        <w:t xml:space="preserve"> lead counsel can continue to serve effectively in both roles</w:t>
      </w:r>
      <w:r>
        <w:rPr>
          <w:rFonts w:ascii="Century Schoolbook" w:hAnsi="Century Schoolbook"/>
          <w:color w:val="000000"/>
          <w:sz w:val="24"/>
          <w:szCs w:val="24"/>
        </w:rPr>
        <w:t xml:space="preserve">, even though lead counsel may also be able </w:t>
      </w:r>
      <w:r w:rsidRPr="00573FA5">
        <w:rPr>
          <w:rFonts w:ascii="Century Schoolbook" w:hAnsi="Century Schoolbook"/>
          <w:color w:val="000000"/>
          <w:sz w:val="24"/>
          <w:szCs w:val="24"/>
        </w:rPr>
        <w:t xml:space="preserve">to secure an advantage for </w:t>
      </w:r>
      <w:r>
        <w:rPr>
          <w:rFonts w:ascii="Century Schoolbook" w:hAnsi="Century Schoolbook"/>
          <w:color w:val="000000"/>
          <w:sz w:val="24"/>
          <w:szCs w:val="24"/>
        </w:rPr>
        <w:t xml:space="preserve">their </w:t>
      </w:r>
      <w:r w:rsidRPr="00573FA5">
        <w:rPr>
          <w:rFonts w:ascii="Century Schoolbook" w:hAnsi="Century Schoolbook"/>
          <w:color w:val="000000"/>
          <w:sz w:val="24"/>
          <w:szCs w:val="24"/>
        </w:rPr>
        <w:t xml:space="preserve">own clients. </w:t>
      </w:r>
    </w:p>
    <w:p w:rsidR="00610156" w:rsidRPr="00573FA5" w:rsidRDefault="00610156" w:rsidP="00610156">
      <w:pPr>
        <w:ind w:left="720" w:right="720"/>
        <w:contextualSpacing/>
        <w:rPr>
          <w:rFonts w:ascii="Century Schoolbook" w:hAnsi="Century Schoolbook"/>
          <w:smallCaps/>
          <w:color w:val="000000"/>
          <w:sz w:val="24"/>
          <w:szCs w:val="24"/>
        </w:rPr>
      </w:pPr>
    </w:p>
    <w:p w:rsidR="00610156" w:rsidRPr="00573FA5" w:rsidRDefault="00CA3C6F" w:rsidP="00610156">
      <w:pPr>
        <w:ind w:left="720" w:right="720"/>
        <w:contextualSpacing/>
        <w:jc w:val="both"/>
        <w:rPr>
          <w:rFonts w:ascii="Century Schoolbook" w:hAnsi="Century Schoolbook"/>
          <w:color w:val="000000"/>
          <w:sz w:val="24"/>
          <w:szCs w:val="24"/>
        </w:rPr>
      </w:pPr>
      <w:r w:rsidRPr="00573FA5">
        <w:rPr>
          <w:rFonts w:ascii="Century Schoolbook" w:hAnsi="Century Schoolbook"/>
          <w:smallCaps/>
          <w:color w:val="000000"/>
          <w:sz w:val="24"/>
          <w:szCs w:val="24"/>
        </w:rPr>
        <w:t>Best Practice 9D</w:t>
      </w:r>
      <w:r w:rsidRPr="00573FA5">
        <w:rPr>
          <w:rFonts w:ascii="Century Schoolbook" w:hAnsi="Century Schoolbook"/>
          <w:color w:val="000000"/>
          <w:sz w:val="24"/>
          <w:szCs w:val="24"/>
        </w:rPr>
        <w:t xml:space="preserve">: </w:t>
      </w:r>
      <w:r>
        <w:rPr>
          <w:rFonts w:ascii="Century Schoolbook" w:hAnsi="Century Schoolbook"/>
          <w:color w:val="000000"/>
          <w:sz w:val="24"/>
          <w:szCs w:val="24"/>
        </w:rPr>
        <w:t>Should</w:t>
      </w:r>
      <w:r w:rsidRPr="00573FA5">
        <w:rPr>
          <w:rFonts w:ascii="Century Schoolbook" w:hAnsi="Century Schoolbook"/>
          <w:color w:val="000000"/>
          <w:sz w:val="24"/>
          <w:szCs w:val="24"/>
        </w:rPr>
        <w:t xml:space="preserve"> the court </w:t>
      </w:r>
      <w:r>
        <w:rPr>
          <w:rFonts w:ascii="Century Schoolbook" w:hAnsi="Century Schoolbook"/>
          <w:color w:val="000000"/>
          <w:sz w:val="24"/>
          <w:szCs w:val="24"/>
        </w:rPr>
        <w:t xml:space="preserve">ever have </w:t>
      </w:r>
      <w:r w:rsidRPr="00573FA5">
        <w:rPr>
          <w:rFonts w:ascii="Century Schoolbook" w:hAnsi="Century Schoolbook"/>
          <w:color w:val="000000"/>
          <w:sz w:val="24"/>
          <w:szCs w:val="24"/>
        </w:rPr>
        <w:t xml:space="preserve">a concern that a settlement negotiated on behalf of lead counsel’s individually-retained clients </w:t>
      </w:r>
      <w:r>
        <w:rPr>
          <w:rFonts w:ascii="Century Schoolbook" w:hAnsi="Century Schoolbook"/>
          <w:color w:val="000000"/>
          <w:sz w:val="24"/>
          <w:szCs w:val="24"/>
        </w:rPr>
        <w:t xml:space="preserve">might </w:t>
      </w:r>
      <w:r w:rsidRPr="00573FA5">
        <w:rPr>
          <w:rFonts w:ascii="Century Schoolbook" w:hAnsi="Century Schoolbook"/>
          <w:color w:val="000000"/>
          <w:sz w:val="24"/>
          <w:szCs w:val="24"/>
        </w:rPr>
        <w:t xml:space="preserve">violate the terms of the court’s order appointing lead counsel, the court </w:t>
      </w:r>
      <w:r>
        <w:rPr>
          <w:rFonts w:ascii="Century Schoolbook" w:hAnsi="Century Schoolbook"/>
          <w:color w:val="000000"/>
          <w:sz w:val="24"/>
          <w:szCs w:val="24"/>
        </w:rPr>
        <w:t xml:space="preserve">should order </w:t>
      </w:r>
      <w:r w:rsidRPr="00573FA5">
        <w:rPr>
          <w:rFonts w:ascii="Century Schoolbook" w:hAnsi="Century Schoolbook"/>
          <w:color w:val="000000"/>
          <w:sz w:val="24"/>
          <w:szCs w:val="24"/>
        </w:rPr>
        <w:t xml:space="preserve">lead counsel to disclose the settlement terms in camera to a Special Master appointed for this purpose or, </w:t>
      </w:r>
      <w:r>
        <w:rPr>
          <w:rFonts w:ascii="Century Schoolbook" w:hAnsi="Century Schoolbook"/>
          <w:color w:val="000000"/>
          <w:sz w:val="24"/>
          <w:szCs w:val="24"/>
        </w:rPr>
        <w:t>if desired</w:t>
      </w:r>
      <w:r w:rsidRPr="00573FA5">
        <w:rPr>
          <w:rFonts w:ascii="Century Schoolbook" w:hAnsi="Century Schoolbook"/>
          <w:color w:val="000000"/>
          <w:sz w:val="24"/>
          <w:szCs w:val="24"/>
        </w:rPr>
        <w:t xml:space="preserve">, to the court itself. </w:t>
      </w:r>
    </w:p>
    <w:p w:rsidR="00610156" w:rsidRPr="00573FA5" w:rsidRDefault="00610156" w:rsidP="00610156">
      <w:pPr>
        <w:ind w:left="720" w:right="720"/>
        <w:contextualSpacing/>
        <w:rPr>
          <w:rFonts w:ascii="Century Schoolbook" w:hAnsi="Century Schoolbook"/>
          <w:i/>
          <w:color w:val="000000"/>
          <w:sz w:val="24"/>
          <w:szCs w:val="24"/>
        </w:rPr>
      </w:pPr>
    </w:p>
    <w:p w:rsidR="00610156" w:rsidRPr="00573FA5" w:rsidRDefault="00CA3C6F" w:rsidP="00610156">
      <w:pPr>
        <w:ind w:firstLine="720"/>
        <w:contextualSpacing/>
        <w:rPr>
          <w:rFonts w:ascii="Century Schoolbook" w:hAnsi="Century Schoolbook"/>
          <w:color w:val="000000"/>
          <w:sz w:val="24"/>
          <w:szCs w:val="24"/>
        </w:rPr>
      </w:pPr>
      <w:r>
        <w:rPr>
          <w:rFonts w:ascii="Century Schoolbook" w:hAnsi="Century Schoolbook"/>
          <w:color w:val="000000"/>
          <w:sz w:val="24"/>
          <w:szCs w:val="24"/>
        </w:rPr>
        <w:t xml:space="preserve">Should </w:t>
      </w:r>
      <w:r w:rsidRPr="00573FA5">
        <w:rPr>
          <w:rFonts w:ascii="Century Schoolbook" w:hAnsi="Century Schoolbook"/>
          <w:color w:val="000000"/>
          <w:sz w:val="24"/>
          <w:szCs w:val="24"/>
        </w:rPr>
        <w:t xml:space="preserve">lead counsel </w:t>
      </w:r>
      <w:r>
        <w:rPr>
          <w:rFonts w:ascii="Century Schoolbook" w:hAnsi="Century Schoolbook"/>
          <w:color w:val="000000"/>
          <w:sz w:val="24"/>
          <w:szCs w:val="24"/>
        </w:rPr>
        <w:t xml:space="preserve">succumb </w:t>
      </w:r>
      <w:r w:rsidRPr="00573FA5">
        <w:rPr>
          <w:rFonts w:ascii="Century Schoolbook" w:hAnsi="Century Schoolbook"/>
          <w:color w:val="000000"/>
          <w:sz w:val="24"/>
          <w:szCs w:val="24"/>
        </w:rPr>
        <w:t>to conscious — or even only “structural” — collusion</w:t>
      </w:r>
      <w:r>
        <w:rPr>
          <w:rFonts w:ascii="Century Schoolbook" w:hAnsi="Century Schoolbook"/>
          <w:color w:val="000000"/>
          <w:sz w:val="24"/>
          <w:szCs w:val="24"/>
        </w:rPr>
        <w:t>,</w:t>
      </w:r>
      <w:r w:rsidRPr="00573FA5">
        <w:rPr>
          <w:rFonts w:ascii="Century Schoolbook" w:hAnsi="Century Schoolbook"/>
          <w:color w:val="000000"/>
          <w:sz w:val="24"/>
          <w:szCs w:val="24"/>
        </w:rPr>
        <w:t xml:space="preserve"> </w:t>
      </w:r>
      <w:r>
        <w:rPr>
          <w:rFonts w:ascii="Century Schoolbook" w:hAnsi="Century Schoolbook"/>
          <w:color w:val="000000"/>
          <w:sz w:val="24"/>
          <w:szCs w:val="24"/>
        </w:rPr>
        <w:t xml:space="preserve">in considering disqualification, the court </w:t>
      </w:r>
      <w:r w:rsidRPr="00573FA5">
        <w:rPr>
          <w:rFonts w:ascii="Century Schoolbook" w:hAnsi="Century Schoolbook"/>
          <w:color w:val="000000"/>
          <w:sz w:val="24"/>
          <w:szCs w:val="24"/>
        </w:rPr>
        <w:t xml:space="preserve">must </w:t>
      </w:r>
      <w:r>
        <w:rPr>
          <w:rFonts w:ascii="Century Schoolbook" w:hAnsi="Century Schoolbook"/>
          <w:color w:val="000000"/>
          <w:sz w:val="24"/>
          <w:szCs w:val="24"/>
        </w:rPr>
        <w:t xml:space="preserve">consider the </w:t>
      </w:r>
      <w:r w:rsidRPr="00573FA5">
        <w:rPr>
          <w:rFonts w:ascii="Century Schoolbook" w:hAnsi="Century Schoolbook"/>
          <w:color w:val="000000"/>
          <w:sz w:val="24"/>
          <w:szCs w:val="24"/>
        </w:rPr>
        <w:t xml:space="preserve">loss to the plaintiffs of </w:t>
      </w:r>
      <w:r>
        <w:rPr>
          <w:rFonts w:ascii="Century Schoolbook" w:hAnsi="Century Schoolbook"/>
          <w:color w:val="000000"/>
          <w:sz w:val="24"/>
          <w:szCs w:val="24"/>
        </w:rPr>
        <w:t xml:space="preserve">the </w:t>
      </w:r>
      <w:r w:rsidRPr="00573FA5">
        <w:rPr>
          <w:rFonts w:ascii="Century Schoolbook" w:hAnsi="Century Schoolbook"/>
          <w:color w:val="000000"/>
          <w:sz w:val="24"/>
          <w:szCs w:val="24"/>
        </w:rPr>
        <w:t>knowledge, skill, experience, and insight possessed by lead counsel</w:t>
      </w:r>
      <w:r>
        <w:rPr>
          <w:rFonts w:ascii="Century Schoolbook" w:hAnsi="Century Schoolbook"/>
          <w:color w:val="000000"/>
          <w:sz w:val="24"/>
          <w:szCs w:val="24"/>
        </w:rPr>
        <w:t>,</w:t>
      </w:r>
      <w:r w:rsidRPr="00573FA5">
        <w:rPr>
          <w:rFonts w:ascii="Century Schoolbook" w:hAnsi="Century Schoolbook"/>
          <w:color w:val="000000"/>
          <w:sz w:val="24"/>
          <w:szCs w:val="24"/>
        </w:rPr>
        <w:t xml:space="preserve"> both generally and as uniquely gained in the particular litigation. </w:t>
      </w:r>
      <w:r w:rsidR="00517156">
        <w:rPr>
          <w:rFonts w:ascii="Century Schoolbook" w:hAnsi="Century Schoolbook"/>
          <w:color w:val="000000"/>
          <w:sz w:val="24"/>
          <w:szCs w:val="24"/>
        </w:rPr>
        <w:t>There is a potential risk that a</w:t>
      </w:r>
      <w:r w:rsidRPr="00573FA5">
        <w:rPr>
          <w:rFonts w:ascii="Century Schoolbook" w:hAnsi="Century Schoolbook"/>
          <w:color w:val="000000"/>
          <w:sz w:val="24"/>
          <w:szCs w:val="24"/>
        </w:rPr>
        <w:t xml:space="preserve">utomatic disqualification of lead counsel who enters into </w:t>
      </w:r>
      <w:r>
        <w:rPr>
          <w:rFonts w:ascii="Century Schoolbook" w:hAnsi="Century Schoolbook"/>
          <w:color w:val="000000"/>
          <w:sz w:val="24"/>
          <w:szCs w:val="24"/>
        </w:rPr>
        <w:t xml:space="preserve">client-favorable </w:t>
      </w:r>
      <w:r w:rsidRPr="00573FA5">
        <w:rPr>
          <w:rFonts w:ascii="Century Schoolbook" w:hAnsi="Century Schoolbook"/>
          <w:color w:val="000000"/>
          <w:sz w:val="24"/>
          <w:szCs w:val="24"/>
        </w:rPr>
        <w:t xml:space="preserve">settlement agreements </w:t>
      </w:r>
      <w:r>
        <w:rPr>
          <w:rFonts w:ascii="Century Schoolbook" w:hAnsi="Century Schoolbook"/>
          <w:color w:val="000000"/>
          <w:sz w:val="24"/>
          <w:szCs w:val="24"/>
        </w:rPr>
        <w:t>c</w:t>
      </w:r>
      <w:r w:rsidRPr="00573FA5">
        <w:rPr>
          <w:rFonts w:ascii="Century Schoolbook" w:hAnsi="Century Schoolbook"/>
          <w:color w:val="000000"/>
          <w:sz w:val="24"/>
          <w:szCs w:val="24"/>
        </w:rPr>
        <w:t xml:space="preserve">ould encourage </w:t>
      </w:r>
      <w:r w:rsidR="00517156">
        <w:rPr>
          <w:rFonts w:ascii="Century Schoolbook" w:hAnsi="Century Schoolbook"/>
          <w:color w:val="000000"/>
          <w:sz w:val="24"/>
          <w:szCs w:val="24"/>
        </w:rPr>
        <w:t xml:space="preserve">a </w:t>
      </w:r>
      <w:r w:rsidRPr="00573FA5">
        <w:rPr>
          <w:rFonts w:ascii="Century Schoolbook" w:hAnsi="Century Schoolbook"/>
          <w:color w:val="000000"/>
          <w:sz w:val="24"/>
          <w:szCs w:val="24"/>
        </w:rPr>
        <w:t xml:space="preserve">defendant to </w:t>
      </w:r>
      <w:r w:rsidR="00517156">
        <w:rPr>
          <w:rFonts w:ascii="Century Schoolbook" w:hAnsi="Century Schoolbook"/>
          <w:color w:val="000000"/>
          <w:sz w:val="24"/>
          <w:szCs w:val="24"/>
        </w:rPr>
        <w:t xml:space="preserve">enter into an early settlement with lead counsel, perhaps at a premium, in order </w:t>
      </w:r>
      <w:r w:rsidRPr="00573FA5">
        <w:rPr>
          <w:rFonts w:ascii="Century Schoolbook" w:hAnsi="Century Schoolbook"/>
          <w:color w:val="000000"/>
          <w:sz w:val="24"/>
          <w:szCs w:val="24"/>
        </w:rPr>
        <w:t xml:space="preserve">to deprive the </w:t>
      </w:r>
      <w:r>
        <w:rPr>
          <w:rFonts w:ascii="Century Schoolbook" w:hAnsi="Century Schoolbook"/>
          <w:color w:val="000000"/>
          <w:sz w:val="24"/>
          <w:szCs w:val="24"/>
        </w:rPr>
        <w:t xml:space="preserve">MDL </w:t>
      </w:r>
      <w:r w:rsidRPr="00573FA5">
        <w:rPr>
          <w:rFonts w:ascii="Century Schoolbook" w:hAnsi="Century Schoolbook"/>
          <w:color w:val="000000"/>
          <w:sz w:val="24"/>
          <w:szCs w:val="24"/>
        </w:rPr>
        <w:t xml:space="preserve">plaintiffs of the </w:t>
      </w:r>
      <w:r>
        <w:rPr>
          <w:rFonts w:ascii="Century Schoolbook" w:hAnsi="Century Schoolbook"/>
          <w:color w:val="000000"/>
          <w:sz w:val="24"/>
          <w:szCs w:val="24"/>
        </w:rPr>
        <w:t>most highly skilled representation</w:t>
      </w:r>
      <w:r w:rsidRPr="00573FA5">
        <w:rPr>
          <w:rFonts w:ascii="Century Schoolbook" w:hAnsi="Century Schoolbook"/>
          <w:color w:val="000000"/>
          <w:sz w:val="24"/>
          <w:szCs w:val="24"/>
        </w:rPr>
        <w:t xml:space="preserve">. </w:t>
      </w:r>
      <w:r>
        <w:rPr>
          <w:rFonts w:ascii="Century Schoolbook" w:hAnsi="Century Schoolbook"/>
          <w:color w:val="000000"/>
          <w:sz w:val="24"/>
          <w:szCs w:val="24"/>
        </w:rPr>
        <w:t xml:space="preserve">Such </w:t>
      </w:r>
      <w:r w:rsidRPr="00573FA5">
        <w:rPr>
          <w:rFonts w:ascii="Century Schoolbook" w:hAnsi="Century Schoolbook"/>
          <w:color w:val="000000"/>
          <w:sz w:val="24"/>
          <w:szCs w:val="24"/>
        </w:rPr>
        <w:t>issues must be carefully weighed</w:t>
      </w:r>
      <w:r>
        <w:rPr>
          <w:rFonts w:ascii="Century Schoolbook" w:hAnsi="Century Schoolbook"/>
          <w:color w:val="000000"/>
          <w:sz w:val="24"/>
          <w:szCs w:val="24"/>
        </w:rPr>
        <w:t xml:space="preserve"> in considering disqualification of lead counsel</w:t>
      </w:r>
      <w:r w:rsidRPr="00573FA5">
        <w:rPr>
          <w:rFonts w:ascii="Century Schoolbook" w:hAnsi="Century Schoolbook"/>
          <w:color w:val="000000"/>
          <w:sz w:val="24"/>
          <w:szCs w:val="24"/>
        </w:rPr>
        <w:t>.</w:t>
      </w:r>
    </w:p>
    <w:p w:rsidR="00610156" w:rsidRPr="00573FA5" w:rsidRDefault="00610156" w:rsidP="00610156">
      <w:pPr>
        <w:ind w:firstLine="720"/>
        <w:contextualSpacing/>
        <w:rPr>
          <w:rFonts w:ascii="Century Schoolbook" w:hAnsi="Century Schoolbook"/>
          <w:color w:val="000000"/>
          <w:sz w:val="24"/>
          <w:szCs w:val="24"/>
        </w:rPr>
      </w:pPr>
    </w:p>
    <w:p w:rsidR="00610156" w:rsidRPr="00573FA5" w:rsidRDefault="00CA3C6F" w:rsidP="00610156">
      <w:pPr>
        <w:ind w:firstLine="720"/>
        <w:contextualSpacing/>
        <w:rPr>
          <w:rFonts w:ascii="Century Schoolbook" w:hAnsi="Century Schoolbook"/>
          <w:color w:val="000000"/>
          <w:sz w:val="24"/>
          <w:szCs w:val="24"/>
        </w:rPr>
      </w:pPr>
      <w:r>
        <w:rPr>
          <w:rFonts w:ascii="Century Schoolbook" w:hAnsi="Century Schoolbook"/>
          <w:color w:val="000000"/>
          <w:sz w:val="24"/>
          <w:szCs w:val="24"/>
        </w:rPr>
        <w:t>J</w:t>
      </w:r>
      <w:r w:rsidRPr="00573FA5">
        <w:rPr>
          <w:rFonts w:ascii="Century Schoolbook" w:hAnsi="Century Schoolbook"/>
          <w:color w:val="000000"/>
          <w:sz w:val="24"/>
          <w:szCs w:val="24"/>
        </w:rPr>
        <w:t xml:space="preserve">udicial review of </w:t>
      </w:r>
      <w:r>
        <w:rPr>
          <w:rFonts w:ascii="Century Schoolbook" w:hAnsi="Century Schoolbook"/>
          <w:color w:val="000000"/>
          <w:sz w:val="24"/>
          <w:szCs w:val="24"/>
        </w:rPr>
        <w:t xml:space="preserve">“side agreement” </w:t>
      </w:r>
      <w:r w:rsidRPr="00573FA5">
        <w:rPr>
          <w:rFonts w:ascii="Century Schoolbook" w:hAnsi="Century Schoolbook"/>
          <w:color w:val="000000"/>
          <w:sz w:val="24"/>
          <w:szCs w:val="24"/>
        </w:rPr>
        <w:t xml:space="preserve">settlements by lead counsel may </w:t>
      </w:r>
      <w:r>
        <w:rPr>
          <w:rFonts w:ascii="Century Schoolbook" w:hAnsi="Century Schoolbook"/>
          <w:color w:val="000000"/>
          <w:sz w:val="24"/>
          <w:szCs w:val="24"/>
        </w:rPr>
        <w:t xml:space="preserve">be </w:t>
      </w:r>
      <w:r w:rsidRPr="00573FA5">
        <w:rPr>
          <w:rFonts w:ascii="Century Schoolbook" w:hAnsi="Century Schoolbook"/>
          <w:color w:val="000000"/>
          <w:sz w:val="24"/>
          <w:szCs w:val="24"/>
        </w:rPr>
        <w:t>provide</w:t>
      </w:r>
      <w:r>
        <w:rPr>
          <w:rFonts w:ascii="Century Schoolbook" w:hAnsi="Century Schoolbook"/>
          <w:color w:val="000000"/>
          <w:sz w:val="24"/>
          <w:szCs w:val="24"/>
        </w:rPr>
        <w:t>d</w:t>
      </w:r>
      <w:r w:rsidRPr="00573FA5">
        <w:rPr>
          <w:rFonts w:ascii="Century Schoolbook" w:hAnsi="Century Schoolbook"/>
          <w:color w:val="000000"/>
          <w:sz w:val="24"/>
          <w:szCs w:val="24"/>
        </w:rPr>
        <w:t xml:space="preserve"> </w:t>
      </w:r>
      <w:r>
        <w:rPr>
          <w:rFonts w:ascii="Century Schoolbook" w:hAnsi="Century Schoolbook"/>
          <w:color w:val="000000"/>
          <w:sz w:val="24"/>
          <w:szCs w:val="24"/>
        </w:rPr>
        <w:t xml:space="preserve">for in the court’s appointment order as </w:t>
      </w:r>
      <w:r w:rsidRPr="00573FA5">
        <w:rPr>
          <w:rFonts w:ascii="Century Schoolbook" w:hAnsi="Century Schoolbook"/>
          <w:color w:val="000000"/>
          <w:sz w:val="24"/>
          <w:szCs w:val="24"/>
        </w:rPr>
        <w:t>a</w:t>
      </w:r>
      <w:r>
        <w:rPr>
          <w:rFonts w:ascii="Century Schoolbook" w:hAnsi="Century Schoolbook"/>
          <w:color w:val="000000"/>
          <w:sz w:val="24"/>
          <w:szCs w:val="24"/>
        </w:rPr>
        <w:t xml:space="preserve"> </w:t>
      </w:r>
      <w:r w:rsidRPr="00573FA5">
        <w:rPr>
          <w:rFonts w:ascii="Century Schoolbook" w:hAnsi="Century Schoolbook"/>
          <w:color w:val="000000"/>
          <w:sz w:val="24"/>
          <w:szCs w:val="24"/>
        </w:rPr>
        <w:t xml:space="preserve">safeguard and means to eliminate the appearance of collusion while retaining the services of the lead counsel. </w:t>
      </w:r>
      <w:r>
        <w:rPr>
          <w:rFonts w:ascii="Century Schoolbook" w:hAnsi="Century Schoolbook"/>
          <w:color w:val="000000"/>
          <w:sz w:val="24"/>
          <w:szCs w:val="24"/>
        </w:rPr>
        <w:t xml:space="preserve">Such </w:t>
      </w:r>
      <w:r w:rsidRPr="00573FA5">
        <w:rPr>
          <w:rFonts w:ascii="Century Schoolbook" w:hAnsi="Century Schoolbook"/>
          <w:color w:val="000000"/>
          <w:sz w:val="24"/>
          <w:szCs w:val="24"/>
        </w:rPr>
        <w:t xml:space="preserve">review </w:t>
      </w:r>
      <w:r>
        <w:rPr>
          <w:rFonts w:ascii="Century Schoolbook" w:hAnsi="Century Schoolbook"/>
          <w:color w:val="000000"/>
          <w:sz w:val="24"/>
          <w:szCs w:val="24"/>
        </w:rPr>
        <w:t xml:space="preserve">should be conducted </w:t>
      </w:r>
      <w:r w:rsidRPr="00573FA5">
        <w:rPr>
          <w:rFonts w:ascii="Century Schoolbook" w:hAnsi="Century Schoolbook"/>
          <w:i/>
          <w:color w:val="000000"/>
          <w:sz w:val="24"/>
          <w:szCs w:val="24"/>
        </w:rPr>
        <w:t>in camera</w:t>
      </w:r>
      <w:r w:rsidRPr="00573FA5">
        <w:rPr>
          <w:rFonts w:ascii="Century Schoolbook" w:hAnsi="Century Schoolbook"/>
          <w:color w:val="000000"/>
          <w:sz w:val="24"/>
          <w:szCs w:val="24"/>
        </w:rPr>
        <w:t xml:space="preserve">, maintaining any confidentiality provisions, ideally </w:t>
      </w:r>
      <w:r>
        <w:rPr>
          <w:rFonts w:ascii="Century Schoolbook" w:hAnsi="Century Schoolbook"/>
          <w:color w:val="000000"/>
          <w:sz w:val="24"/>
          <w:szCs w:val="24"/>
        </w:rPr>
        <w:t xml:space="preserve">by </w:t>
      </w:r>
      <w:r w:rsidRPr="00573FA5">
        <w:rPr>
          <w:rFonts w:ascii="Century Schoolbook" w:hAnsi="Century Schoolbook"/>
          <w:color w:val="000000"/>
          <w:sz w:val="24"/>
          <w:szCs w:val="24"/>
        </w:rPr>
        <w:t xml:space="preserve">a Special Master so that the judge </w:t>
      </w:r>
      <w:r>
        <w:rPr>
          <w:rFonts w:ascii="Century Schoolbook" w:hAnsi="Century Schoolbook"/>
          <w:color w:val="000000"/>
          <w:sz w:val="24"/>
          <w:szCs w:val="24"/>
        </w:rPr>
        <w:t xml:space="preserve">charged with </w:t>
      </w:r>
      <w:r w:rsidRPr="00573FA5">
        <w:rPr>
          <w:rFonts w:ascii="Century Schoolbook" w:hAnsi="Century Schoolbook"/>
          <w:color w:val="000000"/>
          <w:sz w:val="24"/>
          <w:szCs w:val="24"/>
        </w:rPr>
        <w:t>decid</w:t>
      </w:r>
      <w:r>
        <w:rPr>
          <w:rFonts w:ascii="Century Schoolbook" w:hAnsi="Century Schoolbook"/>
          <w:color w:val="000000"/>
          <w:sz w:val="24"/>
          <w:szCs w:val="24"/>
        </w:rPr>
        <w:t>ing</w:t>
      </w:r>
      <w:r w:rsidRPr="00573FA5">
        <w:rPr>
          <w:rFonts w:ascii="Century Schoolbook" w:hAnsi="Century Schoolbook"/>
          <w:color w:val="000000"/>
          <w:sz w:val="24"/>
          <w:szCs w:val="24"/>
        </w:rPr>
        <w:t xml:space="preserve"> the merits of subsequent cases is not “tainted” </w:t>
      </w:r>
      <w:r>
        <w:rPr>
          <w:rFonts w:ascii="Century Schoolbook" w:hAnsi="Century Schoolbook"/>
          <w:color w:val="000000"/>
          <w:sz w:val="24"/>
          <w:szCs w:val="24"/>
        </w:rPr>
        <w:t>with knowledge of the parties confidential settlement posture</w:t>
      </w:r>
      <w:r w:rsidRPr="00573FA5">
        <w:rPr>
          <w:rFonts w:ascii="Century Schoolbook" w:hAnsi="Century Schoolbook"/>
          <w:color w:val="000000"/>
          <w:sz w:val="24"/>
          <w:szCs w:val="24"/>
        </w:rPr>
        <w:t xml:space="preserve">. </w:t>
      </w:r>
    </w:p>
    <w:p w:rsidR="00610156" w:rsidRPr="00573FA5" w:rsidRDefault="00610156" w:rsidP="00610156">
      <w:pPr>
        <w:ind w:left="720" w:right="720"/>
        <w:contextualSpacing/>
        <w:rPr>
          <w:rFonts w:ascii="Century Schoolbook" w:hAnsi="Century Schoolbook"/>
          <w:smallCaps/>
          <w:color w:val="000000"/>
          <w:sz w:val="24"/>
          <w:szCs w:val="24"/>
        </w:rPr>
      </w:pPr>
    </w:p>
    <w:p w:rsidR="00610156" w:rsidRPr="00573FA5" w:rsidRDefault="00CA3C6F" w:rsidP="00610156">
      <w:pPr>
        <w:ind w:left="720" w:right="720"/>
        <w:contextualSpacing/>
        <w:jc w:val="both"/>
        <w:rPr>
          <w:rFonts w:ascii="Century Schoolbook" w:hAnsi="Century Schoolbook"/>
          <w:i/>
          <w:color w:val="000000"/>
          <w:sz w:val="24"/>
          <w:szCs w:val="24"/>
        </w:rPr>
      </w:pPr>
      <w:r w:rsidRPr="00573FA5">
        <w:rPr>
          <w:rFonts w:ascii="Century Schoolbook" w:hAnsi="Century Schoolbook"/>
          <w:smallCaps/>
          <w:color w:val="000000"/>
          <w:sz w:val="24"/>
          <w:szCs w:val="24"/>
        </w:rPr>
        <w:t>Best Practice 9E</w:t>
      </w:r>
      <w:r w:rsidRPr="00573FA5">
        <w:rPr>
          <w:rFonts w:ascii="Century Schoolbook" w:hAnsi="Century Schoolbook"/>
          <w:color w:val="000000"/>
          <w:sz w:val="24"/>
          <w:szCs w:val="24"/>
        </w:rPr>
        <w:t xml:space="preserve">: Lead counsel should maximize the common and collective interests of all plaintiffs in negotiating a global settlement consistent with appointment. </w:t>
      </w:r>
    </w:p>
    <w:p w:rsidR="00610156" w:rsidRPr="00573FA5" w:rsidRDefault="00610156" w:rsidP="00610156">
      <w:pPr>
        <w:ind w:left="720" w:right="720"/>
        <w:contextualSpacing/>
        <w:rPr>
          <w:rFonts w:ascii="Century Schoolbook" w:hAnsi="Century Schoolbook"/>
          <w:i/>
          <w:color w:val="000000"/>
          <w:sz w:val="24"/>
          <w:szCs w:val="24"/>
        </w:rPr>
      </w:pPr>
    </w:p>
    <w:p w:rsidR="00610156" w:rsidRPr="00573FA5" w:rsidRDefault="00CA3C6F" w:rsidP="00610156">
      <w:pPr>
        <w:contextualSpacing/>
        <w:rPr>
          <w:rFonts w:ascii="Century Schoolbook" w:hAnsi="Century Schoolbook"/>
          <w:color w:val="000000"/>
          <w:sz w:val="24"/>
          <w:szCs w:val="24"/>
        </w:rPr>
      </w:pPr>
      <w:r w:rsidRPr="00573FA5">
        <w:rPr>
          <w:rFonts w:ascii="Century Schoolbook" w:hAnsi="Century Schoolbook"/>
          <w:color w:val="000000"/>
          <w:sz w:val="24"/>
          <w:szCs w:val="24"/>
        </w:rPr>
        <w:tab/>
      </w:r>
      <w:r>
        <w:rPr>
          <w:rFonts w:ascii="Century Schoolbook" w:hAnsi="Century Schoolbook"/>
          <w:color w:val="000000"/>
          <w:sz w:val="24"/>
          <w:szCs w:val="24"/>
        </w:rPr>
        <w:t>Even though</w:t>
      </w:r>
      <w:r w:rsidRPr="00573FA5">
        <w:rPr>
          <w:rFonts w:ascii="Century Schoolbook" w:hAnsi="Century Schoolbook"/>
          <w:color w:val="000000"/>
          <w:sz w:val="24"/>
          <w:szCs w:val="24"/>
        </w:rPr>
        <w:t xml:space="preserve"> lead counsel is negotiating a “global”-type settlement for all or a </w:t>
      </w:r>
      <w:r>
        <w:rPr>
          <w:rFonts w:ascii="Century Schoolbook" w:hAnsi="Century Schoolbook"/>
          <w:color w:val="000000"/>
          <w:sz w:val="24"/>
          <w:szCs w:val="24"/>
        </w:rPr>
        <w:t xml:space="preserve">large </w:t>
      </w:r>
      <w:r w:rsidRPr="00573FA5">
        <w:rPr>
          <w:rFonts w:ascii="Century Schoolbook" w:hAnsi="Century Schoolbook"/>
          <w:color w:val="000000"/>
          <w:sz w:val="24"/>
          <w:szCs w:val="24"/>
        </w:rPr>
        <w:t xml:space="preserve">majority of the plaintiffs, continues to owe an undivided duty of loyalty to </w:t>
      </w:r>
      <w:r>
        <w:rPr>
          <w:rFonts w:ascii="Century Schoolbook" w:hAnsi="Century Schoolbook"/>
          <w:color w:val="000000"/>
          <w:sz w:val="24"/>
          <w:szCs w:val="24"/>
        </w:rPr>
        <w:t>their</w:t>
      </w:r>
      <w:r w:rsidRPr="00573FA5">
        <w:rPr>
          <w:rFonts w:ascii="Century Schoolbook" w:hAnsi="Century Schoolbook"/>
          <w:color w:val="000000"/>
          <w:sz w:val="24"/>
          <w:szCs w:val="24"/>
        </w:rPr>
        <w:t xml:space="preserve"> own clients and must, within that framework, seek to maximize the recoveries </w:t>
      </w:r>
      <w:r w:rsidRPr="00573FA5">
        <w:rPr>
          <w:rFonts w:ascii="Century Schoolbook" w:hAnsi="Century Schoolbook"/>
          <w:color w:val="000000"/>
          <w:sz w:val="24"/>
          <w:szCs w:val="24"/>
        </w:rPr>
        <w:lastRenderedPageBreak/>
        <w:t xml:space="preserve">of </w:t>
      </w:r>
      <w:r>
        <w:rPr>
          <w:rFonts w:ascii="Century Schoolbook" w:hAnsi="Century Schoolbook"/>
          <w:color w:val="000000"/>
          <w:sz w:val="24"/>
          <w:szCs w:val="24"/>
        </w:rPr>
        <w:t>their</w:t>
      </w:r>
      <w:r w:rsidRPr="00573FA5">
        <w:rPr>
          <w:rFonts w:ascii="Century Schoolbook" w:hAnsi="Century Schoolbook"/>
          <w:color w:val="000000"/>
          <w:sz w:val="24"/>
          <w:szCs w:val="24"/>
        </w:rPr>
        <w:t xml:space="preserve"> own clients even if that might arguably work to the prejudice of other plaintiffs. </w:t>
      </w:r>
      <w:r>
        <w:rPr>
          <w:rFonts w:ascii="Century Schoolbook" w:hAnsi="Century Schoolbook"/>
          <w:color w:val="000000"/>
          <w:sz w:val="24"/>
          <w:szCs w:val="24"/>
        </w:rPr>
        <w:t xml:space="preserve">Lead counsel’s obligation to their own clients ordinarily will not preclude them from simultaneously </w:t>
      </w:r>
      <w:r w:rsidRPr="00573FA5">
        <w:rPr>
          <w:rFonts w:ascii="Century Schoolbook" w:hAnsi="Century Schoolbook"/>
          <w:color w:val="000000"/>
          <w:sz w:val="24"/>
          <w:szCs w:val="24"/>
        </w:rPr>
        <w:t xml:space="preserve">attempting to achieve the best possible settlement for </w:t>
      </w:r>
      <w:r>
        <w:rPr>
          <w:rFonts w:ascii="Century Schoolbook" w:hAnsi="Century Schoolbook"/>
          <w:color w:val="000000"/>
          <w:sz w:val="24"/>
          <w:szCs w:val="24"/>
        </w:rPr>
        <w:t xml:space="preserve">MDL </w:t>
      </w:r>
      <w:r w:rsidRPr="00573FA5">
        <w:rPr>
          <w:rFonts w:ascii="Century Schoolbook" w:hAnsi="Century Schoolbook"/>
          <w:color w:val="000000"/>
          <w:sz w:val="24"/>
          <w:szCs w:val="24"/>
        </w:rPr>
        <w:t>plaintiffs generally,</w:t>
      </w:r>
    </w:p>
    <w:p w:rsidR="00610156" w:rsidRPr="00573FA5" w:rsidRDefault="00610156" w:rsidP="00610156">
      <w:pPr>
        <w:ind w:firstLine="720"/>
        <w:contextualSpacing/>
        <w:rPr>
          <w:rFonts w:ascii="Century Schoolbook" w:hAnsi="Century Schoolbook"/>
          <w:color w:val="000000"/>
          <w:sz w:val="24"/>
          <w:szCs w:val="24"/>
        </w:rPr>
      </w:pPr>
    </w:p>
    <w:p w:rsidR="00610156" w:rsidRPr="00573FA5" w:rsidRDefault="00CA3C6F" w:rsidP="00610156">
      <w:pPr>
        <w:ind w:firstLine="720"/>
        <w:contextualSpacing/>
        <w:rPr>
          <w:rFonts w:ascii="Century Schoolbook" w:hAnsi="Century Schoolbook"/>
          <w:color w:val="000000"/>
          <w:sz w:val="24"/>
          <w:szCs w:val="24"/>
        </w:rPr>
      </w:pPr>
      <w:r w:rsidRPr="00573FA5">
        <w:rPr>
          <w:rFonts w:ascii="Century Schoolbook" w:hAnsi="Century Schoolbook"/>
          <w:color w:val="000000"/>
          <w:sz w:val="24"/>
          <w:szCs w:val="24"/>
        </w:rPr>
        <w:t xml:space="preserve">Lead counsel participates in global settlement negotiations not by virtue of </w:t>
      </w:r>
      <w:r>
        <w:rPr>
          <w:rFonts w:ascii="Century Schoolbook" w:hAnsi="Century Schoolbook"/>
          <w:color w:val="000000"/>
          <w:sz w:val="24"/>
          <w:szCs w:val="24"/>
        </w:rPr>
        <w:t>their</w:t>
      </w:r>
      <w:r w:rsidRPr="00573FA5">
        <w:rPr>
          <w:rFonts w:ascii="Century Schoolbook" w:hAnsi="Century Schoolbook"/>
          <w:color w:val="000000"/>
          <w:sz w:val="24"/>
          <w:szCs w:val="24"/>
        </w:rPr>
        <w:t xml:space="preserve"> own clients’ cases but because the court appointed lead counsel to participate in such discussions on behalf of all plaintiffs. Although in such negotiations lead counsel would </w:t>
      </w:r>
      <w:r>
        <w:rPr>
          <w:rFonts w:ascii="Century Schoolbook" w:hAnsi="Century Schoolbook"/>
          <w:color w:val="000000"/>
          <w:sz w:val="24"/>
          <w:szCs w:val="24"/>
        </w:rPr>
        <w:t>be</w:t>
      </w:r>
      <w:r w:rsidRPr="00573FA5">
        <w:rPr>
          <w:rFonts w:ascii="Century Schoolbook" w:hAnsi="Century Schoolbook"/>
          <w:color w:val="000000"/>
          <w:sz w:val="24"/>
          <w:szCs w:val="24"/>
        </w:rPr>
        <w:t xml:space="preserve"> draw</w:t>
      </w:r>
      <w:r>
        <w:rPr>
          <w:rFonts w:ascii="Century Schoolbook" w:hAnsi="Century Schoolbook"/>
          <w:color w:val="000000"/>
          <w:sz w:val="24"/>
          <w:szCs w:val="24"/>
        </w:rPr>
        <w:t>ing</w:t>
      </w:r>
      <w:r w:rsidRPr="00573FA5">
        <w:rPr>
          <w:rFonts w:ascii="Century Schoolbook" w:hAnsi="Century Schoolbook"/>
          <w:color w:val="000000"/>
          <w:sz w:val="24"/>
          <w:szCs w:val="24"/>
        </w:rPr>
        <w:t xml:space="preserve"> upon the knowledge and perspectives gained from the representation of </w:t>
      </w:r>
      <w:r>
        <w:rPr>
          <w:rFonts w:ascii="Century Schoolbook" w:hAnsi="Century Schoolbook"/>
          <w:color w:val="000000"/>
          <w:sz w:val="24"/>
          <w:szCs w:val="24"/>
        </w:rPr>
        <w:t>their</w:t>
      </w:r>
      <w:r w:rsidRPr="00573FA5">
        <w:rPr>
          <w:rFonts w:ascii="Century Schoolbook" w:hAnsi="Century Schoolbook"/>
          <w:color w:val="000000"/>
          <w:sz w:val="24"/>
          <w:szCs w:val="24"/>
        </w:rPr>
        <w:t xml:space="preserve"> own clients, the appointment order should specify lead counsel’s obligation, in that capacity, to maximize the common and collective interests of the plaintiffs as a whole.</w:t>
      </w:r>
    </w:p>
    <w:p w:rsidR="00610156" w:rsidRPr="00573FA5" w:rsidRDefault="00CA3C6F" w:rsidP="00610156">
      <w:pPr>
        <w:contextualSpacing/>
        <w:rPr>
          <w:rFonts w:ascii="Century Schoolbook" w:hAnsi="Century Schoolbook"/>
          <w:color w:val="000000"/>
          <w:sz w:val="24"/>
          <w:szCs w:val="24"/>
        </w:rPr>
      </w:pPr>
      <w:r w:rsidRPr="00573FA5">
        <w:rPr>
          <w:rFonts w:ascii="Century Schoolbook" w:hAnsi="Century Schoolbook"/>
          <w:color w:val="000000"/>
          <w:sz w:val="24"/>
          <w:szCs w:val="24"/>
        </w:rPr>
        <w:tab/>
      </w:r>
    </w:p>
    <w:p w:rsidR="00610156" w:rsidRPr="00573FA5" w:rsidRDefault="00CA3C6F" w:rsidP="00610156">
      <w:pPr>
        <w:ind w:firstLine="720"/>
        <w:contextualSpacing/>
        <w:rPr>
          <w:rFonts w:ascii="Century Schoolbook" w:hAnsi="Century Schoolbook"/>
          <w:color w:val="000000"/>
          <w:sz w:val="24"/>
          <w:szCs w:val="24"/>
        </w:rPr>
      </w:pPr>
      <w:r w:rsidRPr="00573FA5">
        <w:rPr>
          <w:rFonts w:ascii="Century Schoolbook" w:hAnsi="Century Schoolbook"/>
          <w:color w:val="000000"/>
          <w:sz w:val="24"/>
          <w:szCs w:val="24"/>
        </w:rPr>
        <w:t xml:space="preserve">The </w:t>
      </w:r>
      <w:r>
        <w:rPr>
          <w:rFonts w:ascii="Century Schoolbook" w:hAnsi="Century Schoolbook"/>
          <w:color w:val="000000"/>
          <w:sz w:val="24"/>
          <w:szCs w:val="24"/>
        </w:rPr>
        <w:t xml:space="preserve">policy of such provisions </w:t>
      </w:r>
      <w:r w:rsidRPr="00573FA5">
        <w:rPr>
          <w:rFonts w:ascii="Century Schoolbook" w:hAnsi="Century Schoolbook"/>
          <w:color w:val="000000"/>
          <w:sz w:val="24"/>
          <w:szCs w:val="24"/>
        </w:rPr>
        <w:t xml:space="preserve">is to allow lead counsel’s clients to obtain the full benefit of </w:t>
      </w:r>
      <w:r>
        <w:rPr>
          <w:rFonts w:ascii="Century Schoolbook" w:hAnsi="Century Schoolbook"/>
          <w:color w:val="000000"/>
          <w:sz w:val="24"/>
          <w:szCs w:val="24"/>
        </w:rPr>
        <w:t>their</w:t>
      </w:r>
      <w:r w:rsidRPr="00573FA5">
        <w:rPr>
          <w:rFonts w:ascii="Century Schoolbook" w:hAnsi="Century Schoolbook"/>
          <w:color w:val="000000"/>
          <w:sz w:val="24"/>
          <w:szCs w:val="24"/>
        </w:rPr>
        <w:t xml:space="preserve"> representation </w:t>
      </w:r>
      <w:r>
        <w:rPr>
          <w:rFonts w:ascii="Century Schoolbook" w:hAnsi="Century Schoolbook"/>
          <w:color w:val="000000"/>
          <w:sz w:val="24"/>
          <w:szCs w:val="24"/>
        </w:rPr>
        <w:t xml:space="preserve">by particularly knowledgeable and </w:t>
      </w:r>
      <w:r w:rsidRPr="00573FA5">
        <w:rPr>
          <w:rFonts w:ascii="Century Schoolbook" w:hAnsi="Century Schoolbook"/>
          <w:color w:val="000000"/>
          <w:sz w:val="24"/>
          <w:szCs w:val="24"/>
        </w:rPr>
        <w:t>skill</w:t>
      </w:r>
      <w:r>
        <w:rPr>
          <w:rFonts w:ascii="Century Schoolbook" w:hAnsi="Century Schoolbook"/>
          <w:color w:val="000000"/>
          <w:sz w:val="24"/>
          <w:szCs w:val="24"/>
        </w:rPr>
        <w:t xml:space="preserve">ful counsel </w:t>
      </w:r>
      <w:r w:rsidRPr="00573FA5">
        <w:rPr>
          <w:rFonts w:ascii="Century Schoolbook" w:hAnsi="Century Schoolbook"/>
          <w:color w:val="000000"/>
          <w:sz w:val="24"/>
          <w:szCs w:val="24"/>
        </w:rPr>
        <w:t xml:space="preserve">without conferring an undue advantage solely </w:t>
      </w:r>
      <w:r>
        <w:rPr>
          <w:rFonts w:ascii="Century Schoolbook" w:hAnsi="Century Schoolbook"/>
          <w:color w:val="000000"/>
          <w:sz w:val="24"/>
          <w:szCs w:val="24"/>
        </w:rPr>
        <w:t xml:space="preserve">attributable to </w:t>
      </w:r>
      <w:r w:rsidRPr="00573FA5">
        <w:rPr>
          <w:rFonts w:ascii="Century Schoolbook" w:hAnsi="Century Schoolbook"/>
          <w:color w:val="000000"/>
          <w:sz w:val="24"/>
          <w:szCs w:val="24"/>
        </w:rPr>
        <w:t>their attorney’s appointment as “lead counsel</w:t>
      </w:r>
      <w:r>
        <w:rPr>
          <w:rFonts w:ascii="Century Schoolbook" w:hAnsi="Century Schoolbook"/>
          <w:color w:val="000000"/>
          <w:sz w:val="24"/>
          <w:szCs w:val="24"/>
        </w:rPr>
        <w:t>.</w:t>
      </w:r>
      <w:r w:rsidRPr="00573FA5">
        <w:rPr>
          <w:rFonts w:ascii="Century Schoolbook" w:hAnsi="Century Schoolbook"/>
          <w:color w:val="000000"/>
          <w:sz w:val="24"/>
          <w:szCs w:val="24"/>
        </w:rPr>
        <w:t xml:space="preserve">” </w:t>
      </w:r>
      <w:r>
        <w:rPr>
          <w:rFonts w:ascii="Century Schoolbook" w:hAnsi="Century Schoolbook"/>
          <w:color w:val="000000"/>
          <w:sz w:val="24"/>
          <w:szCs w:val="24"/>
        </w:rPr>
        <w:t xml:space="preserve">Such an appointment </w:t>
      </w:r>
      <w:r w:rsidRPr="00573FA5">
        <w:rPr>
          <w:rFonts w:ascii="Century Schoolbook" w:hAnsi="Century Schoolbook"/>
          <w:color w:val="000000"/>
          <w:sz w:val="24"/>
          <w:szCs w:val="24"/>
        </w:rPr>
        <w:t xml:space="preserve">premium </w:t>
      </w:r>
      <w:r>
        <w:rPr>
          <w:rFonts w:ascii="Century Schoolbook" w:hAnsi="Century Schoolbook"/>
          <w:color w:val="000000"/>
          <w:sz w:val="24"/>
          <w:szCs w:val="24"/>
        </w:rPr>
        <w:t xml:space="preserve">would </w:t>
      </w:r>
      <w:r w:rsidRPr="00573FA5">
        <w:rPr>
          <w:rFonts w:ascii="Century Schoolbook" w:hAnsi="Century Schoolbook"/>
          <w:color w:val="000000"/>
          <w:sz w:val="24"/>
          <w:szCs w:val="24"/>
        </w:rPr>
        <w:t>come at the expense of other plaintiffs in the litigation</w:t>
      </w:r>
      <w:r>
        <w:rPr>
          <w:rFonts w:ascii="Century Schoolbook" w:hAnsi="Century Schoolbook"/>
          <w:color w:val="000000"/>
          <w:sz w:val="24"/>
          <w:szCs w:val="24"/>
        </w:rPr>
        <w:t xml:space="preserve"> represented by other counsel</w:t>
      </w:r>
      <w:r w:rsidRPr="00573FA5">
        <w:rPr>
          <w:rFonts w:ascii="Century Schoolbook" w:hAnsi="Century Schoolbook"/>
          <w:color w:val="000000"/>
          <w:sz w:val="24"/>
          <w:szCs w:val="24"/>
        </w:rPr>
        <w:t xml:space="preserve">. </w:t>
      </w:r>
    </w:p>
    <w:p w:rsidR="00610156" w:rsidRPr="00573FA5" w:rsidRDefault="00610156" w:rsidP="00610156">
      <w:pPr>
        <w:ind w:firstLine="720"/>
        <w:contextualSpacing/>
        <w:rPr>
          <w:rFonts w:ascii="Century Schoolbook" w:hAnsi="Century Schoolbook"/>
          <w:color w:val="000000"/>
          <w:sz w:val="24"/>
          <w:szCs w:val="24"/>
        </w:rPr>
      </w:pPr>
    </w:p>
    <w:p w:rsidR="00610156" w:rsidRPr="00573FA5" w:rsidRDefault="00CA3C6F" w:rsidP="00610156">
      <w:pPr>
        <w:ind w:left="720" w:right="720"/>
        <w:contextualSpacing/>
        <w:rPr>
          <w:rFonts w:ascii="Century Schoolbook" w:hAnsi="Century Schoolbook"/>
          <w:color w:val="000000"/>
          <w:sz w:val="24"/>
          <w:szCs w:val="24"/>
        </w:rPr>
      </w:pPr>
      <w:r w:rsidRPr="00573FA5">
        <w:rPr>
          <w:rFonts w:ascii="Century Schoolbook" w:hAnsi="Century Schoolbook"/>
          <w:smallCaps/>
          <w:color w:val="000000"/>
          <w:sz w:val="24"/>
          <w:szCs w:val="24"/>
        </w:rPr>
        <w:t>Best Practice 9F</w:t>
      </w:r>
      <w:r w:rsidRPr="00573FA5">
        <w:rPr>
          <w:rFonts w:ascii="Century Schoolbook" w:hAnsi="Century Schoolbook"/>
          <w:color w:val="000000"/>
          <w:sz w:val="24"/>
          <w:szCs w:val="24"/>
        </w:rPr>
        <w:t xml:space="preserve">: </w:t>
      </w:r>
      <w:r>
        <w:rPr>
          <w:rFonts w:ascii="Century Schoolbook" w:hAnsi="Century Schoolbook"/>
          <w:color w:val="000000"/>
          <w:sz w:val="24"/>
          <w:szCs w:val="24"/>
        </w:rPr>
        <w:t>Consistent with existing attorney-client relationships, t</w:t>
      </w:r>
      <w:r w:rsidRPr="00573FA5">
        <w:rPr>
          <w:rFonts w:ascii="Century Schoolbook" w:hAnsi="Century Schoolbook"/>
          <w:color w:val="000000"/>
          <w:sz w:val="24"/>
          <w:szCs w:val="24"/>
        </w:rPr>
        <w:t>he court should consider entering an order authorizing confidential settlement negotiations.</w:t>
      </w:r>
    </w:p>
    <w:p w:rsidR="00610156" w:rsidRPr="00573FA5" w:rsidRDefault="00610156" w:rsidP="00610156">
      <w:pPr>
        <w:ind w:left="720" w:right="720"/>
        <w:contextualSpacing/>
        <w:rPr>
          <w:rFonts w:ascii="Century Schoolbook" w:hAnsi="Century Schoolbook"/>
          <w:color w:val="000000"/>
          <w:sz w:val="24"/>
          <w:szCs w:val="24"/>
        </w:rPr>
      </w:pPr>
    </w:p>
    <w:p w:rsidR="00610156" w:rsidRPr="00573FA5" w:rsidRDefault="00CA3C6F" w:rsidP="00610156">
      <w:pPr>
        <w:ind w:firstLine="720"/>
        <w:contextualSpacing/>
        <w:rPr>
          <w:rFonts w:ascii="Century Schoolbook" w:hAnsi="Century Schoolbook"/>
          <w:color w:val="000000"/>
          <w:sz w:val="24"/>
          <w:szCs w:val="24"/>
        </w:rPr>
      </w:pPr>
      <w:r w:rsidRPr="00573FA5">
        <w:rPr>
          <w:rFonts w:ascii="Century Schoolbook" w:hAnsi="Century Schoolbook"/>
          <w:color w:val="000000"/>
          <w:sz w:val="24"/>
          <w:szCs w:val="24"/>
        </w:rPr>
        <w:t xml:space="preserve">Lead counsel in settlement negotiations acts in accordance with the court’s appointment order for the common and collective good of the plaintiffs. Disclosing the substance of the negotiations to lead counsel’s individually-retained clients could adversely affect the settlement. </w:t>
      </w:r>
      <w:r>
        <w:rPr>
          <w:rFonts w:ascii="Century Schoolbook" w:hAnsi="Century Schoolbook"/>
          <w:color w:val="000000"/>
          <w:sz w:val="24"/>
          <w:szCs w:val="24"/>
        </w:rPr>
        <w:t>Provided that such individually-retained clients consent after prior notice, a</w:t>
      </w:r>
      <w:r w:rsidRPr="00573FA5">
        <w:rPr>
          <w:rFonts w:ascii="Century Schoolbook" w:hAnsi="Century Schoolbook"/>
          <w:color w:val="000000"/>
          <w:sz w:val="24"/>
          <w:szCs w:val="24"/>
        </w:rPr>
        <w:t xml:space="preserve"> court order that expressly authorizes confidentiality obviates any disclosure concern of lead counsel and provides lead counsel an effective response to clients’ or other lawyers’ requests to disclose confidential information. </w:t>
      </w:r>
    </w:p>
    <w:p w:rsidR="00610156" w:rsidRPr="00573FA5" w:rsidRDefault="00610156" w:rsidP="00610156">
      <w:pPr>
        <w:contextualSpacing/>
        <w:jc w:val="center"/>
        <w:rPr>
          <w:rFonts w:ascii="Century Schoolbook" w:hAnsi="Century Schoolbook"/>
          <w:b/>
          <w:color w:val="000000"/>
          <w:sz w:val="24"/>
          <w:szCs w:val="24"/>
        </w:rPr>
      </w:pPr>
    </w:p>
    <w:p w:rsidR="00610156" w:rsidRPr="00573FA5" w:rsidRDefault="00610156" w:rsidP="00610156">
      <w:pPr>
        <w:contextualSpacing/>
        <w:jc w:val="center"/>
        <w:rPr>
          <w:rFonts w:ascii="Century Schoolbook" w:hAnsi="Century Schoolbook"/>
          <w:b/>
          <w:color w:val="000000"/>
          <w:sz w:val="24"/>
          <w:szCs w:val="24"/>
        </w:rPr>
      </w:pPr>
    </w:p>
    <w:p w:rsidR="00610156" w:rsidRPr="00573FA5" w:rsidRDefault="00610156" w:rsidP="00610156">
      <w:pPr>
        <w:contextualSpacing/>
        <w:jc w:val="center"/>
        <w:rPr>
          <w:rFonts w:ascii="Century Schoolbook" w:hAnsi="Century Schoolbook"/>
          <w:b/>
          <w:color w:val="000000"/>
          <w:sz w:val="24"/>
          <w:szCs w:val="24"/>
        </w:rPr>
      </w:pPr>
    </w:p>
    <w:p w:rsidR="00610156" w:rsidRPr="00573FA5" w:rsidRDefault="00610156" w:rsidP="00610156">
      <w:pPr>
        <w:contextualSpacing/>
        <w:jc w:val="center"/>
        <w:rPr>
          <w:rFonts w:ascii="Century Schoolbook" w:hAnsi="Century Schoolbook"/>
          <w:b/>
          <w:color w:val="000000"/>
          <w:sz w:val="24"/>
          <w:szCs w:val="24"/>
        </w:rPr>
      </w:pPr>
    </w:p>
    <w:p w:rsidR="00610156" w:rsidRDefault="00610156" w:rsidP="00610156">
      <w:pPr>
        <w:contextualSpacing/>
        <w:jc w:val="center"/>
        <w:rPr>
          <w:rFonts w:ascii="Century Schoolbook" w:hAnsi="Century Schoolbook"/>
          <w:b/>
          <w:color w:val="000000"/>
          <w:sz w:val="24"/>
          <w:szCs w:val="24"/>
        </w:rPr>
      </w:pPr>
    </w:p>
    <w:p w:rsidR="00610156" w:rsidRDefault="00610156" w:rsidP="00610156">
      <w:pPr>
        <w:contextualSpacing/>
        <w:jc w:val="center"/>
        <w:rPr>
          <w:rFonts w:ascii="Century Schoolbook" w:hAnsi="Century Schoolbook"/>
          <w:b/>
          <w:color w:val="000000"/>
          <w:sz w:val="24"/>
          <w:szCs w:val="24"/>
        </w:rPr>
      </w:pPr>
    </w:p>
    <w:p w:rsidR="00610156" w:rsidRDefault="00610156" w:rsidP="00610156">
      <w:pPr>
        <w:contextualSpacing/>
        <w:jc w:val="center"/>
        <w:rPr>
          <w:rFonts w:ascii="Century Schoolbook" w:hAnsi="Century Schoolbook"/>
          <w:b/>
          <w:color w:val="000000"/>
          <w:sz w:val="24"/>
          <w:szCs w:val="24"/>
        </w:rPr>
      </w:pPr>
    </w:p>
    <w:p w:rsidR="00610156" w:rsidRDefault="00610156" w:rsidP="00610156">
      <w:pPr>
        <w:contextualSpacing/>
        <w:jc w:val="center"/>
        <w:rPr>
          <w:rFonts w:ascii="Century Schoolbook" w:hAnsi="Century Schoolbook"/>
          <w:b/>
          <w:color w:val="000000"/>
          <w:sz w:val="24"/>
          <w:szCs w:val="24"/>
        </w:rPr>
      </w:pPr>
    </w:p>
    <w:p w:rsidR="00610156" w:rsidRDefault="00610156" w:rsidP="00610156">
      <w:pPr>
        <w:contextualSpacing/>
        <w:jc w:val="center"/>
        <w:rPr>
          <w:rFonts w:ascii="Century Schoolbook" w:hAnsi="Century Schoolbook"/>
          <w:b/>
          <w:color w:val="000000"/>
          <w:sz w:val="24"/>
          <w:szCs w:val="24"/>
        </w:rPr>
      </w:pPr>
    </w:p>
    <w:p w:rsidR="00610156" w:rsidRDefault="00610156" w:rsidP="00610156">
      <w:pPr>
        <w:contextualSpacing/>
        <w:jc w:val="center"/>
        <w:rPr>
          <w:rFonts w:ascii="Century Schoolbook" w:hAnsi="Century Schoolbook"/>
          <w:b/>
          <w:color w:val="000000"/>
          <w:sz w:val="24"/>
          <w:szCs w:val="24"/>
        </w:rPr>
      </w:pPr>
    </w:p>
    <w:p w:rsidR="00610156" w:rsidRDefault="00610156" w:rsidP="00610156">
      <w:pPr>
        <w:contextualSpacing/>
        <w:jc w:val="center"/>
        <w:rPr>
          <w:rFonts w:ascii="Century Schoolbook" w:hAnsi="Century Schoolbook"/>
          <w:b/>
          <w:color w:val="000000"/>
          <w:sz w:val="24"/>
          <w:szCs w:val="24"/>
        </w:rPr>
      </w:pPr>
    </w:p>
    <w:p w:rsidR="00610156" w:rsidRDefault="00610156" w:rsidP="00610156">
      <w:pPr>
        <w:contextualSpacing/>
        <w:jc w:val="center"/>
        <w:rPr>
          <w:rFonts w:ascii="Century Schoolbook" w:hAnsi="Century Schoolbook"/>
          <w:b/>
          <w:color w:val="000000"/>
          <w:sz w:val="24"/>
          <w:szCs w:val="24"/>
        </w:rPr>
      </w:pPr>
    </w:p>
    <w:p w:rsidR="00610156" w:rsidRDefault="00610156" w:rsidP="00610156">
      <w:pPr>
        <w:contextualSpacing/>
        <w:jc w:val="center"/>
        <w:rPr>
          <w:rFonts w:ascii="Century Schoolbook" w:hAnsi="Century Schoolbook"/>
          <w:b/>
          <w:color w:val="000000"/>
          <w:sz w:val="24"/>
          <w:szCs w:val="24"/>
        </w:rPr>
      </w:pPr>
    </w:p>
    <w:p w:rsidR="00610156" w:rsidRPr="00573FA5" w:rsidRDefault="00CA3C6F" w:rsidP="00610156">
      <w:pPr>
        <w:contextualSpacing/>
        <w:jc w:val="center"/>
        <w:rPr>
          <w:rFonts w:ascii="Century Schoolbook" w:hAnsi="Century Schoolbook"/>
          <w:b/>
          <w:color w:val="000000"/>
          <w:sz w:val="24"/>
          <w:szCs w:val="24"/>
        </w:rPr>
      </w:pPr>
      <w:r w:rsidRPr="00573FA5">
        <w:rPr>
          <w:rFonts w:ascii="Century Schoolbook" w:hAnsi="Century Schoolbook"/>
          <w:b/>
          <w:color w:val="000000"/>
          <w:sz w:val="24"/>
          <w:szCs w:val="24"/>
        </w:rPr>
        <w:lastRenderedPageBreak/>
        <w:t>CHAPTER 4</w:t>
      </w:r>
    </w:p>
    <w:p w:rsidR="00610156" w:rsidRPr="00573FA5" w:rsidRDefault="00610156" w:rsidP="00610156">
      <w:pPr>
        <w:contextualSpacing/>
        <w:jc w:val="center"/>
        <w:rPr>
          <w:rFonts w:ascii="Century Schoolbook" w:hAnsi="Century Schoolbook"/>
          <w:b/>
          <w:color w:val="000000"/>
          <w:sz w:val="24"/>
          <w:szCs w:val="24"/>
        </w:rPr>
      </w:pPr>
    </w:p>
    <w:p w:rsidR="00610156" w:rsidRPr="00573FA5" w:rsidRDefault="00CA3C6F" w:rsidP="00610156">
      <w:pPr>
        <w:contextualSpacing/>
        <w:jc w:val="center"/>
        <w:rPr>
          <w:rFonts w:ascii="Century Schoolbook" w:hAnsi="Century Schoolbook"/>
          <w:b/>
          <w:color w:val="000000"/>
          <w:sz w:val="24"/>
          <w:szCs w:val="24"/>
        </w:rPr>
      </w:pPr>
      <w:r w:rsidRPr="00573FA5">
        <w:rPr>
          <w:rFonts w:ascii="Century Schoolbook" w:hAnsi="Century Schoolbook"/>
          <w:b/>
          <w:color w:val="000000"/>
          <w:sz w:val="24"/>
          <w:szCs w:val="24"/>
        </w:rPr>
        <w:t>ROLE OF NON-LEADERSHIP COUNSEL</w:t>
      </w:r>
    </w:p>
    <w:p w:rsidR="00610156" w:rsidRPr="00573FA5" w:rsidRDefault="00610156" w:rsidP="00610156">
      <w:pPr>
        <w:contextualSpacing/>
        <w:jc w:val="center"/>
        <w:rPr>
          <w:rFonts w:ascii="Century Schoolbook" w:hAnsi="Century Schoolbook"/>
          <w:b/>
          <w:color w:val="000000"/>
          <w:sz w:val="24"/>
          <w:szCs w:val="24"/>
        </w:rPr>
      </w:pPr>
    </w:p>
    <w:p w:rsidR="00610156" w:rsidRPr="00573FA5" w:rsidRDefault="00CA3C6F" w:rsidP="00610156">
      <w:pPr>
        <w:contextualSpacing/>
        <w:rPr>
          <w:rFonts w:ascii="Century Schoolbook" w:hAnsi="Century Schoolbook"/>
          <w:color w:val="000000"/>
          <w:sz w:val="24"/>
          <w:szCs w:val="24"/>
        </w:rPr>
      </w:pPr>
      <w:r w:rsidRPr="00573FA5">
        <w:rPr>
          <w:rFonts w:ascii="Century Schoolbook" w:hAnsi="Century Schoolbook"/>
          <w:b/>
          <w:color w:val="000000"/>
          <w:sz w:val="24"/>
          <w:szCs w:val="24"/>
        </w:rPr>
        <w:tab/>
      </w:r>
      <w:r w:rsidRPr="00573FA5">
        <w:rPr>
          <w:rFonts w:ascii="Century Schoolbook" w:hAnsi="Century Schoolbook"/>
          <w:color w:val="000000"/>
          <w:sz w:val="24"/>
          <w:szCs w:val="24"/>
        </w:rPr>
        <w:t xml:space="preserve">In a mass-tort MDL, lead counsel make up a fraction of the lawyers representing plaintiffs. Non-leadership counsel have a limited role in key decisions affecting overall strategy and settlement. Because lead counsel effectively controls the litigation, non-leadership counsel, who continue to be bound by canons of ethics to act in the best interests of their clients, face difficult problems when they disagree with lead counsel’s actions and decisions. </w:t>
      </w:r>
      <w:r>
        <w:rPr>
          <w:rFonts w:ascii="Century Schoolbook" w:hAnsi="Century Schoolbook"/>
          <w:color w:val="000000"/>
          <w:sz w:val="24"/>
          <w:szCs w:val="24"/>
        </w:rPr>
        <w:t>I</w:t>
      </w:r>
      <w:r w:rsidRPr="00573FA5">
        <w:rPr>
          <w:rFonts w:ascii="Century Schoolbook" w:hAnsi="Century Schoolbook"/>
          <w:color w:val="000000"/>
          <w:sz w:val="24"/>
          <w:szCs w:val="24"/>
        </w:rPr>
        <w:t xml:space="preserve">f </w:t>
      </w:r>
      <w:r>
        <w:rPr>
          <w:rFonts w:ascii="Century Schoolbook" w:hAnsi="Century Schoolbook"/>
          <w:color w:val="000000"/>
          <w:sz w:val="24"/>
          <w:szCs w:val="24"/>
        </w:rPr>
        <w:t xml:space="preserve">lead counsel negotiate </w:t>
      </w:r>
      <w:r w:rsidRPr="00573FA5">
        <w:rPr>
          <w:rFonts w:ascii="Century Schoolbook" w:hAnsi="Century Schoolbook"/>
          <w:color w:val="000000"/>
          <w:sz w:val="24"/>
          <w:szCs w:val="24"/>
        </w:rPr>
        <w:t xml:space="preserve">a global settlement, non-leadership counsel and their clients make the final decision regarding whether to participate. But, as a practical matter, rejecting the offer at that time may not seem feasible. </w:t>
      </w:r>
    </w:p>
    <w:p w:rsidR="00610156" w:rsidRPr="00573FA5" w:rsidRDefault="00610156" w:rsidP="00610156">
      <w:pPr>
        <w:contextualSpacing/>
        <w:rPr>
          <w:rFonts w:ascii="Century Schoolbook" w:hAnsi="Century Schoolbook"/>
          <w:color w:val="000000"/>
          <w:sz w:val="24"/>
          <w:szCs w:val="24"/>
        </w:rPr>
      </w:pPr>
    </w:p>
    <w:p w:rsidR="00610156" w:rsidRPr="00573FA5" w:rsidRDefault="00CA3C6F" w:rsidP="00610156">
      <w:pPr>
        <w:ind w:firstLine="720"/>
        <w:contextualSpacing/>
        <w:rPr>
          <w:rFonts w:ascii="Century Schoolbook" w:hAnsi="Century Schoolbook"/>
          <w:color w:val="000000"/>
          <w:sz w:val="24"/>
          <w:szCs w:val="24"/>
        </w:rPr>
      </w:pPr>
      <w:r>
        <w:rPr>
          <w:rFonts w:ascii="Century Schoolbook" w:hAnsi="Century Schoolbook"/>
          <w:color w:val="000000"/>
          <w:sz w:val="24"/>
          <w:szCs w:val="24"/>
        </w:rPr>
        <w:t xml:space="preserve">MDL decision-making benefits whenever </w:t>
      </w:r>
      <w:r w:rsidRPr="00573FA5">
        <w:rPr>
          <w:rFonts w:ascii="Century Schoolbook" w:hAnsi="Century Schoolbook"/>
          <w:color w:val="000000"/>
          <w:sz w:val="24"/>
          <w:szCs w:val="24"/>
        </w:rPr>
        <w:t xml:space="preserve">lead counsel can </w:t>
      </w:r>
      <w:r>
        <w:rPr>
          <w:rFonts w:ascii="Century Schoolbook" w:hAnsi="Century Schoolbook"/>
          <w:color w:val="000000"/>
          <w:sz w:val="24"/>
          <w:szCs w:val="24"/>
        </w:rPr>
        <w:t xml:space="preserve">create </w:t>
      </w:r>
      <w:r w:rsidRPr="00573FA5">
        <w:rPr>
          <w:rFonts w:ascii="Century Schoolbook" w:hAnsi="Century Schoolbook"/>
          <w:color w:val="000000"/>
          <w:sz w:val="24"/>
          <w:szCs w:val="24"/>
        </w:rPr>
        <w:t xml:space="preserve">a process </w:t>
      </w:r>
      <w:r>
        <w:rPr>
          <w:rFonts w:ascii="Century Schoolbook" w:hAnsi="Century Schoolbook"/>
          <w:color w:val="000000"/>
          <w:sz w:val="24"/>
          <w:szCs w:val="24"/>
        </w:rPr>
        <w:t xml:space="preserve">for </w:t>
      </w:r>
      <w:r w:rsidRPr="00573FA5">
        <w:rPr>
          <w:rFonts w:ascii="Century Schoolbook" w:hAnsi="Century Schoolbook"/>
          <w:color w:val="000000"/>
          <w:sz w:val="24"/>
          <w:szCs w:val="24"/>
        </w:rPr>
        <w:t>consider</w:t>
      </w:r>
      <w:r>
        <w:rPr>
          <w:rFonts w:ascii="Century Schoolbook" w:hAnsi="Century Schoolbook"/>
          <w:color w:val="000000"/>
          <w:sz w:val="24"/>
          <w:szCs w:val="24"/>
        </w:rPr>
        <w:t>ing</w:t>
      </w:r>
      <w:r w:rsidRPr="00573FA5">
        <w:rPr>
          <w:rFonts w:ascii="Century Schoolbook" w:hAnsi="Century Schoolbook"/>
          <w:color w:val="000000"/>
          <w:sz w:val="24"/>
          <w:szCs w:val="24"/>
        </w:rPr>
        <w:t xml:space="preserve"> input </w:t>
      </w:r>
      <w:r>
        <w:rPr>
          <w:rFonts w:ascii="Century Schoolbook" w:hAnsi="Century Schoolbook"/>
          <w:color w:val="000000"/>
          <w:sz w:val="24"/>
          <w:szCs w:val="24"/>
        </w:rPr>
        <w:t xml:space="preserve">from </w:t>
      </w:r>
      <w:r w:rsidRPr="00573FA5">
        <w:rPr>
          <w:rFonts w:ascii="Century Schoolbook" w:hAnsi="Century Schoolbook"/>
          <w:color w:val="000000"/>
          <w:sz w:val="24"/>
          <w:szCs w:val="24"/>
        </w:rPr>
        <w:t xml:space="preserve">non-leadership counsel without </w:t>
      </w:r>
      <w:r>
        <w:rPr>
          <w:rFonts w:ascii="Century Schoolbook" w:hAnsi="Century Schoolbook"/>
          <w:color w:val="000000"/>
          <w:sz w:val="24"/>
          <w:szCs w:val="24"/>
        </w:rPr>
        <w:t xml:space="preserve">being subject to inefficient </w:t>
      </w:r>
      <w:r w:rsidRPr="00573FA5">
        <w:rPr>
          <w:rFonts w:ascii="Century Schoolbook" w:hAnsi="Century Schoolbook"/>
          <w:color w:val="000000"/>
          <w:sz w:val="24"/>
          <w:szCs w:val="24"/>
        </w:rPr>
        <w:t>second-guessing. Lead counsel should engage</w:t>
      </w:r>
      <w:r w:rsidRPr="00EE5B9F">
        <w:rPr>
          <w:rFonts w:ascii="Century Schoolbook" w:hAnsi="Century Schoolbook"/>
          <w:color w:val="000000"/>
          <w:sz w:val="24"/>
          <w:szCs w:val="24"/>
        </w:rPr>
        <w:t xml:space="preserve"> </w:t>
      </w:r>
      <w:r w:rsidRPr="00573FA5">
        <w:rPr>
          <w:rFonts w:ascii="Century Schoolbook" w:hAnsi="Century Schoolbook"/>
          <w:color w:val="000000"/>
          <w:sz w:val="24"/>
          <w:szCs w:val="24"/>
        </w:rPr>
        <w:t xml:space="preserve">non-leadership counsel in candid discussions early in the litigation about the case’s strengths and weaknesses, </w:t>
      </w:r>
      <w:r>
        <w:rPr>
          <w:rFonts w:ascii="Century Schoolbook" w:hAnsi="Century Schoolbook"/>
          <w:color w:val="000000"/>
          <w:sz w:val="24"/>
          <w:szCs w:val="24"/>
        </w:rPr>
        <w:t xml:space="preserve">including </w:t>
      </w:r>
      <w:r>
        <w:rPr>
          <w:rFonts w:ascii="Century Schoolbook" w:hAnsi="Century Schoolbook"/>
          <w:i/>
          <w:color w:val="000000"/>
          <w:sz w:val="24"/>
          <w:szCs w:val="24"/>
        </w:rPr>
        <w:t>Daubert</w:t>
      </w:r>
      <w:r w:rsidRPr="00573FA5">
        <w:rPr>
          <w:rFonts w:ascii="Century Schoolbook" w:hAnsi="Century Schoolbook"/>
          <w:color w:val="000000"/>
          <w:sz w:val="24"/>
          <w:szCs w:val="24"/>
        </w:rPr>
        <w:t xml:space="preserve"> issues critical </w:t>
      </w:r>
      <w:r>
        <w:rPr>
          <w:rFonts w:ascii="Century Schoolbook" w:hAnsi="Century Schoolbook"/>
          <w:color w:val="000000"/>
          <w:sz w:val="24"/>
          <w:szCs w:val="24"/>
        </w:rPr>
        <w:t xml:space="preserve">to acceptance of the plaintiffs’ </w:t>
      </w:r>
      <w:r w:rsidRPr="00573FA5">
        <w:rPr>
          <w:rFonts w:ascii="Century Schoolbook" w:hAnsi="Century Schoolbook"/>
          <w:color w:val="000000"/>
          <w:sz w:val="24"/>
          <w:szCs w:val="24"/>
        </w:rPr>
        <w:t>scien</w:t>
      </w:r>
      <w:r>
        <w:rPr>
          <w:rFonts w:ascii="Century Schoolbook" w:hAnsi="Century Schoolbook"/>
          <w:color w:val="000000"/>
          <w:sz w:val="24"/>
          <w:szCs w:val="24"/>
        </w:rPr>
        <w:t>tific</w:t>
      </w:r>
      <w:r w:rsidR="00517156">
        <w:rPr>
          <w:rFonts w:ascii="Century Schoolbook" w:hAnsi="Century Schoolbook"/>
          <w:color w:val="000000"/>
          <w:sz w:val="24"/>
          <w:szCs w:val="24"/>
        </w:rPr>
        <w:t xml:space="preserve"> </w:t>
      </w:r>
      <w:r>
        <w:rPr>
          <w:rFonts w:ascii="Century Schoolbook" w:hAnsi="Century Schoolbook"/>
          <w:color w:val="000000"/>
          <w:sz w:val="24"/>
          <w:szCs w:val="24"/>
        </w:rPr>
        <w:t>position.</w:t>
      </w:r>
      <w:r w:rsidRPr="00573FA5">
        <w:rPr>
          <w:rFonts w:ascii="Century Schoolbook" w:hAnsi="Century Schoolbook"/>
          <w:color w:val="000000"/>
          <w:sz w:val="24"/>
          <w:szCs w:val="24"/>
        </w:rPr>
        <w:t xml:space="preserve">. </w:t>
      </w:r>
      <w:r>
        <w:rPr>
          <w:rFonts w:ascii="Century Schoolbook" w:hAnsi="Century Schoolbook"/>
          <w:color w:val="000000"/>
          <w:sz w:val="24"/>
          <w:szCs w:val="24"/>
        </w:rPr>
        <w:t>Part of l</w:t>
      </w:r>
      <w:r w:rsidRPr="00573FA5">
        <w:rPr>
          <w:rFonts w:ascii="Century Schoolbook" w:hAnsi="Century Schoolbook"/>
          <w:color w:val="000000"/>
          <w:sz w:val="24"/>
          <w:szCs w:val="24"/>
        </w:rPr>
        <w:t>ead counsel</w:t>
      </w:r>
      <w:r>
        <w:rPr>
          <w:rFonts w:ascii="Century Schoolbook" w:hAnsi="Century Schoolbook"/>
          <w:color w:val="000000"/>
          <w:sz w:val="24"/>
          <w:szCs w:val="24"/>
        </w:rPr>
        <w:t>’s</w:t>
      </w:r>
      <w:r w:rsidRPr="00573FA5">
        <w:rPr>
          <w:rFonts w:ascii="Century Schoolbook" w:hAnsi="Century Schoolbook"/>
          <w:color w:val="000000"/>
          <w:sz w:val="24"/>
          <w:szCs w:val="24"/>
        </w:rPr>
        <w:t xml:space="preserve"> role </w:t>
      </w:r>
      <w:r>
        <w:rPr>
          <w:rFonts w:ascii="Century Schoolbook" w:hAnsi="Century Schoolbook"/>
          <w:color w:val="000000"/>
          <w:sz w:val="24"/>
          <w:szCs w:val="24"/>
        </w:rPr>
        <w:t xml:space="preserve">is </w:t>
      </w:r>
      <w:r w:rsidRPr="00573FA5">
        <w:rPr>
          <w:rFonts w:ascii="Century Schoolbook" w:hAnsi="Century Schoolbook"/>
          <w:color w:val="000000"/>
          <w:sz w:val="24"/>
          <w:szCs w:val="24"/>
        </w:rPr>
        <w:t>to educate non-leadership counsel about the MDL’s parameters</w:t>
      </w:r>
      <w:r>
        <w:rPr>
          <w:rFonts w:ascii="Century Schoolbook" w:hAnsi="Century Schoolbook"/>
          <w:color w:val="000000"/>
          <w:sz w:val="24"/>
          <w:szCs w:val="24"/>
        </w:rPr>
        <w:t xml:space="preserve">, its risks, </w:t>
      </w:r>
      <w:r w:rsidRPr="00573FA5">
        <w:rPr>
          <w:rFonts w:ascii="Century Schoolbook" w:hAnsi="Century Schoolbook"/>
          <w:color w:val="000000"/>
          <w:sz w:val="24"/>
          <w:szCs w:val="24"/>
        </w:rPr>
        <w:t xml:space="preserve">and the general strategy </w:t>
      </w:r>
      <w:r>
        <w:rPr>
          <w:rFonts w:ascii="Century Schoolbook" w:hAnsi="Century Schoolbook"/>
          <w:color w:val="000000"/>
          <w:sz w:val="24"/>
          <w:szCs w:val="24"/>
        </w:rPr>
        <w:t>being adopted</w:t>
      </w:r>
      <w:r w:rsidRPr="00573FA5">
        <w:rPr>
          <w:rFonts w:ascii="Century Schoolbook" w:hAnsi="Century Schoolbook"/>
          <w:color w:val="000000"/>
          <w:sz w:val="24"/>
          <w:szCs w:val="24"/>
        </w:rPr>
        <w:t xml:space="preserve">, </w:t>
      </w:r>
      <w:r>
        <w:rPr>
          <w:rFonts w:ascii="Century Schoolbook" w:hAnsi="Century Schoolbook"/>
          <w:color w:val="000000"/>
          <w:sz w:val="24"/>
          <w:szCs w:val="24"/>
        </w:rPr>
        <w:t xml:space="preserve">and to </w:t>
      </w:r>
      <w:r w:rsidRPr="00573FA5">
        <w:rPr>
          <w:rFonts w:ascii="Century Schoolbook" w:hAnsi="Century Schoolbook"/>
          <w:color w:val="000000"/>
          <w:sz w:val="24"/>
          <w:szCs w:val="24"/>
        </w:rPr>
        <w:t>updat</w:t>
      </w:r>
      <w:r>
        <w:rPr>
          <w:rFonts w:ascii="Century Schoolbook" w:hAnsi="Century Schoolbook"/>
          <w:color w:val="000000"/>
          <w:sz w:val="24"/>
          <w:szCs w:val="24"/>
        </w:rPr>
        <w:t>e</w:t>
      </w:r>
      <w:r w:rsidRPr="00573FA5">
        <w:rPr>
          <w:rFonts w:ascii="Century Schoolbook" w:hAnsi="Century Schoolbook"/>
          <w:color w:val="000000"/>
          <w:sz w:val="24"/>
          <w:szCs w:val="24"/>
        </w:rPr>
        <w:t xml:space="preserve"> counsel throughout the course of the litigation as circumstances change.</w:t>
      </w:r>
    </w:p>
    <w:p w:rsidR="00610156" w:rsidRPr="00573FA5" w:rsidRDefault="00610156" w:rsidP="00610156">
      <w:pPr>
        <w:ind w:firstLine="720"/>
        <w:contextualSpacing/>
        <w:rPr>
          <w:rFonts w:ascii="Century Schoolbook" w:hAnsi="Century Schoolbook"/>
          <w:color w:val="000000"/>
          <w:sz w:val="24"/>
          <w:szCs w:val="24"/>
        </w:rPr>
      </w:pPr>
    </w:p>
    <w:p w:rsidR="00610156" w:rsidRPr="00573FA5" w:rsidRDefault="00CA3C6F" w:rsidP="00610156">
      <w:pPr>
        <w:pStyle w:val="BodyText"/>
        <w:ind w:left="720" w:right="720"/>
        <w:contextualSpacing/>
        <w:jc w:val="both"/>
        <w:rPr>
          <w:rFonts w:ascii="Century Schoolbook" w:hAnsi="Century Schoolbook"/>
          <w:b/>
        </w:rPr>
      </w:pPr>
      <w:r w:rsidRPr="00573FA5">
        <w:rPr>
          <w:rFonts w:ascii="Century Schoolbook" w:hAnsi="Century Schoolbook"/>
          <w:b/>
          <w:smallCaps/>
        </w:rPr>
        <w:t>MDL Standard 10</w:t>
      </w:r>
      <w:r w:rsidRPr="00573FA5">
        <w:rPr>
          <w:rFonts w:ascii="Century Schoolbook" w:hAnsi="Century Schoolbook"/>
          <w:b/>
        </w:rPr>
        <w:t xml:space="preserve">: </w:t>
      </w:r>
      <w:r w:rsidRPr="00573FA5">
        <w:rPr>
          <w:rFonts w:ascii="Century Schoolbook" w:hAnsi="Century Schoolbook"/>
        </w:rPr>
        <w:t xml:space="preserve">Lead counsel </w:t>
      </w:r>
      <w:r>
        <w:rPr>
          <w:rFonts w:ascii="Century Schoolbook" w:hAnsi="Century Schoolbook"/>
        </w:rPr>
        <w:t xml:space="preserve">should establish processes that build consensus </w:t>
      </w:r>
      <w:r w:rsidRPr="00573FA5">
        <w:rPr>
          <w:rFonts w:ascii="Century Schoolbook" w:hAnsi="Century Schoolbook"/>
        </w:rPr>
        <w:t xml:space="preserve">among non-leadership counsel </w:t>
      </w:r>
      <w:r>
        <w:rPr>
          <w:rFonts w:ascii="Century Schoolbook" w:hAnsi="Century Schoolbook"/>
        </w:rPr>
        <w:t xml:space="preserve">as to </w:t>
      </w:r>
      <w:r w:rsidRPr="00573FA5">
        <w:rPr>
          <w:rFonts w:ascii="Century Schoolbook" w:hAnsi="Century Schoolbook"/>
        </w:rPr>
        <w:t>key decisions that lead to settlement.</w:t>
      </w:r>
    </w:p>
    <w:p w:rsidR="00610156" w:rsidRPr="00573FA5" w:rsidRDefault="00610156" w:rsidP="00610156">
      <w:pPr>
        <w:pStyle w:val="BodyText"/>
        <w:ind w:firstLine="720"/>
        <w:contextualSpacing/>
        <w:rPr>
          <w:rFonts w:ascii="Century Schoolbook" w:hAnsi="Century Schoolbook"/>
        </w:rPr>
      </w:pPr>
    </w:p>
    <w:p w:rsidR="00610156" w:rsidRPr="00573FA5" w:rsidRDefault="00CA3C6F" w:rsidP="00610156">
      <w:pPr>
        <w:pStyle w:val="BodyText"/>
        <w:ind w:firstLine="720"/>
        <w:contextualSpacing/>
        <w:rPr>
          <w:rFonts w:ascii="Century Schoolbook" w:hAnsi="Century Schoolbook"/>
        </w:rPr>
      </w:pPr>
      <w:r w:rsidRPr="00573FA5">
        <w:rPr>
          <w:rFonts w:ascii="Century Schoolbook" w:hAnsi="Century Schoolbook"/>
        </w:rPr>
        <w:t xml:space="preserve">Lawyers representing individually-retained clients </w:t>
      </w:r>
      <w:r>
        <w:rPr>
          <w:rFonts w:ascii="Century Schoolbook" w:hAnsi="Century Schoolbook"/>
        </w:rPr>
        <w:t>keep their</w:t>
      </w:r>
      <w:r w:rsidRPr="00573FA5">
        <w:rPr>
          <w:rFonts w:ascii="Century Schoolbook" w:hAnsi="Century Schoolbook"/>
        </w:rPr>
        <w:t xml:space="preserve"> duty to advocate for their clients’ best interests. Although hav</w:t>
      </w:r>
      <w:r>
        <w:rPr>
          <w:rFonts w:ascii="Century Schoolbook" w:hAnsi="Century Schoolbook"/>
        </w:rPr>
        <w:t>ing</w:t>
      </w:r>
      <w:r w:rsidRPr="00573FA5">
        <w:rPr>
          <w:rFonts w:ascii="Century Schoolbook" w:hAnsi="Century Schoolbook"/>
        </w:rPr>
        <w:t xml:space="preserve"> the power to accept or reject a proposed settlement, </w:t>
      </w:r>
      <w:r>
        <w:rPr>
          <w:rFonts w:ascii="Century Schoolbook" w:hAnsi="Century Schoolbook"/>
        </w:rPr>
        <w:t xml:space="preserve">as a practical matter </w:t>
      </w:r>
      <w:r w:rsidRPr="00573FA5">
        <w:rPr>
          <w:rFonts w:ascii="Century Schoolbook" w:hAnsi="Century Schoolbook"/>
        </w:rPr>
        <w:t>their bargaining position weaken</w:t>
      </w:r>
      <w:r>
        <w:rPr>
          <w:rFonts w:ascii="Century Schoolbook" w:hAnsi="Century Schoolbook"/>
        </w:rPr>
        <w:t>s the longer lead counsel are in command of the MDL</w:t>
      </w:r>
      <w:r w:rsidRPr="00573FA5">
        <w:rPr>
          <w:rFonts w:ascii="Century Schoolbook" w:hAnsi="Century Schoolbook"/>
        </w:rPr>
        <w:t xml:space="preserve">. At minimum, they should be informed of all significant actions taken in the MDL consistent with </w:t>
      </w:r>
      <w:r w:rsidRPr="00573FA5">
        <w:rPr>
          <w:rFonts w:ascii="Century Schoolbook" w:hAnsi="Century Schoolbook"/>
          <w:smallCaps/>
        </w:rPr>
        <w:t>Best Practice 4I</w:t>
      </w:r>
      <w:r w:rsidRPr="00573FA5">
        <w:rPr>
          <w:rFonts w:ascii="Century Schoolbook" w:hAnsi="Century Schoolbook"/>
        </w:rPr>
        <w:t xml:space="preserve">. Ideally, non-leadership counsel should </w:t>
      </w:r>
      <w:r>
        <w:rPr>
          <w:rFonts w:ascii="Century Schoolbook" w:hAnsi="Century Schoolbook"/>
        </w:rPr>
        <w:t xml:space="preserve">be able </w:t>
      </w:r>
      <w:r w:rsidRPr="00573FA5">
        <w:rPr>
          <w:rFonts w:ascii="Century Schoolbook" w:hAnsi="Century Schoolbook"/>
        </w:rPr>
        <w:t xml:space="preserve">to provide input on key decisions consistent with </w:t>
      </w:r>
      <w:r w:rsidRPr="00573FA5">
        <w:rPr>
          <w:rFonts w:ascii="Century Schoolbook" w:hAnsi="Century Schoolbook"/>
          <w:smallCaps/>
        </w:rPr>
        <w:t>Best Practice 10B</w:t>
      </w:r>
      <w:r w:rsidRPr="00573FA5">
        <w:rPr>
          <w:rFonts w:ascii="Century Schoolbook" w:hAnsi="Century Schoolbook"/>
        </w:rPr>
        <w:t>.</w:t>
      </w:r>
    </w:p>
    <w:p w:rsidR="00610156" w:rsidRPr="00573FA5" w:rsidRDefault="00610156" w:rsidP="00610156">
      <w:pPr>
        <w:pStyle w:val="BodyText"/>
        <w:ind w:firstLine="720"/>
        <w:contextualSpacing/>
        <w:rPr>
          <w:rFonts w:ascii="Century Schoolbook" w:hAnsi="Century Schoolbook"/>
        </w:rPr>
      </w:pPr>
    </w:p>
    <w:p w:rsidR="00610156" w:rsidRPr="00573FA5" w:rsidRDefault="00CA3C6F" w:rsidP="00610156">
      <w:pPr>
        <w:pStyle w:val="BodyText"/>
        <w:ind w:left="720" w:right="720"/>
        <w:contextualSpacing/>
        <w:jc w:val="both"/>
        <w:rPr>
          <w:rFonts w:ascii="Century Schoolbook" w:hAnsi="Century Schoolbook"/>
          <w:i/>
        </w:rPr>
      </w:pPr>
      <w:r w:rsidRPr="00573FA5">
        <w:rPr>
          <w:rFonts w:ascii="Century Schoolbook" w:hAnsi="Century Schoolbook"/>
          <w:smallCaps/>
        </w:rPr>
        <w:t>Best Practice 10A</w:t>
      </w:r>
      <w:r w:rsidRPr="00573FA5">
        <w:rPr>
          <w:rFonts w:ascii="Century Schoolbook" w:hAnsi="Century Schoolbook"/>
        </w:rPr>
        <w:t xml:space="preserve">: Lead counsel should </w:t>
      </w:r>
      <w:r>
        <w:rPr>
          <w:rFonts w:ascii="Century Schoolbook" w:hAnsi="Century Schoolbook"/>
        </w:rPr>
        <w:t xml:space="preserve">provide equal opportunity to </w:t>
      </w:r>
      <w:r w:rsidRPr="00573FA5">
        <w:rPr>
          <w:rFonts w:ascii="Century Schoolbook" w:hAnsi="Century Schoolbook"/>
        </w:rPr>
        <w:t>all willing and able counsel to participate in discovery and other MDL tasks.</w:t>
      </w:r>
    </w:p>
    <w:p w:rsidR="00610156" w:rsidRPr="00573FA5" w:rsidRDefault="00610156" w:rsidP="00610156">
      <w:pPr>
        <w:pStyle w:val="BodyText"/>
        <w:ind w:left="720" w:right="720"/>
        <w:contextualSpacing/>
        <w:rPr>
          <w:rFonts w:ascii="Century Schoolbook" w:hAnsi="Century Schoolbook"/>
          <w:i/>
        </w:rPr>
      </w:pPr>
    </w:p>
    <w:p w:rsidR="00610156" w:rsidRPr="00573FA5" w:rsidRDefault="00CA3C6F" w:rsidP="00610156">
      <w:pPr>
        <w:pStyle w:val="BodyText"/>
        <w:ind w:firstLine="720"/>
        <w:contextualSpacing/>
        <w:rPr>
          <w:rFonts w:ascii="Century Schoolbook" w:hAnsi="Century Schoolbook"/>
        </w:rPr>
      </w:pPr>
      <w:r>
        <w:rPr>
          <w:rFonts w:ascii="Century Schoolbook" w:hAnsi="Century Schoolbook"/>
        </w:rPr>
        <w:t>E</w:t>
      </w:r>
      <w:r w:rsidRPr="00573FA5">
        <w:rPr>
          <w:rFonts w:ascii="Century Schoolbook" w:hAnsi="Century Schoolbook"/>
        </w:rPr>
        <w:t xml:space="preserve">qual opportunity </w:t>
      </w:r>
      <w:r>
        <w:rPr>
          <w:rFonts w:ascii="Century Schoolbook" w:hAnsi="Century Schoolbook"/>
        </w:rPr>
        <w:t xml:space="preserve">for </w:t>
      </w:r>
      <w:r w:rsidRPr="00573FA5">
        <w:rPr>
          <w:rFonts w:ascii="Century Schoolbook" w:hAnsi="Century Schoolbook"/>
        </w:rPr>
        <w:t xml:space="preserve">non-leadership counsel to perform discovery tasks enhances consensus-building consistent with </w:t>
      </w:r>
      <w:r w:rsidRPr="00573FA5">
        <w:rPr>
          <w:rFonts w:ascii="Century Schoolbook" w:hAnsi="Century Schoolbook"/>
          <w:smallCaps/>
        </w:rPr>
        <w:t>Best Practice</w:t>
      </w:r>
      <w:r w:rsidRPr="00573FA5">
        <w:rPr>
          <w:rFonts w:ascii="Century Schoolbook" w:hAnsi="Century Schoolbook"/>
          <w:i/>
        </w:rPr>
        <w:t xml:space="preserve"> </w:t>
      </w:r>
      <w:r w:rsidRPr="00573FA5">
        <w:rPr>
          <w:rFonts w:ascii="Century Schoolbook" w:hAnsi="Century Schoolbook"/>
        </w:rPr>
        <w:t xml:space="preserve">4H. </w:t>
      </w:r>
      <w:r>
        <w:rPr>
          <w:rFonts w:ascii="Century Schoolbook" w:hAnsi="Century Schoolbook"/>
        </w:rPr>
        <w:t>C</w:t>
      </w:r>
      <w:r w:rsidRPr="00573FA5">
        <w:rPr>
          <w:rFonts w:ascii="Century Schoolbook" w:hAnsi="Century Schoolbook"/>
        </w:rPr>
        <w:t xml:space="preserve">ompensation for such work </w:t>
      </w:r>
      <w:r>
        <w:rPr>
          <w:rFonts w:ascii="Century Schoolbook" w:hAnsi="Century Schoolbook"/>
        </w:rPr>
        <w:t xml:space="preserve">should be </w:t>
      </w:r>
      <w:r w:rsidRPr="00573FA5">
        <w:rPr>
          <w:rFonts w:ascii="Century Schoolbook" w:hAnsi="Century Schoolbook"/>
        </w:rPr>
        <w:t xml:space="preserve">commensurate with the compensation leadership counsel </w:t>
      </w:r>
      <w:r>
        <w:rPr>
          <w:rFonts w:ascii="Century Schoolbook" w:hAnsi="Century Schoolbook"/>
        </w:rPr>
        <w:t xml:space="preserve">receive </w:t>
      </w:r>
      <w:r w:rsidRPr="00573FA5">
        <w:rPr>
          <w:rFonts w:ascii="Century Schoolbook" w:hAnsi="Century Schoolbook"/>
        </w:rPr>
        <w:t xml:space="preserve">for the same type of work consistent with </w:t>
      </w:r>
      <w:r w:rsidRPr="00573FA5">
        <w:rPr>
          <w:rFonts w:ascii="Century Schoolbook" w:hAnsi="Century Schoolbook"/>
          <w:smallCaps/>
        </w:rPr>
        <w:t>Best Practices</w:t>
      </w:r>
      <w:r w:rsidRPr="00573FA5">
        <w:rPr>
          <w:rFonts w:ascii="Century Schoolbook" w:hAnsi="Century Schoolbook"/>
        </w:rPr>
        <w:t xml:space="preserve"> 12G(ii) and 12H. </w:t>
      </w:r>
    </w:p>
    <w:p w:rsidR="00610156" w:rsidRPr="00573FA5" w:rsidRDefault="00610156" w:rsidP="00610156">
      <w:pPr>
        <w:pStyle w:val="BodyText"/>
        <w:ind w:firstLine="720"/>
        <w:contextualSpacing/>
        <w:rPr>
          <w:rFonts w:ascii="Century Schoolbook" w:hAnsi="Century Schoolbook"/>
        </w:rPr>
      </w:pPr>
    </w:p>
    <w:p w:rsidR="00610156" w:rsidRPr="00573FA5" w:rsidRDefault="00CA3C6F" w:rsidP="00610156">
      <w:pPr>
        <w:pStyle w:val="BodyText"/>
        <w:ind w:left="720" w:right="720"/>
        <w:contextualSpacing/>
        <w:jc w:val="both"/>
        <w:rPr>
          <w:rFonts w:ascii="Century Schoolbook" w:hAnsi="Century Schoolbook"/>
        </w:rPr>
      </w:pPr>
      <w:r w:rsidRPr="00573FA5">
        <w:rPr>
          <w:rFonts w:ascii="Century Schoolbook" w:hAnsi="Century Schoolbook"/>
          <w:smallCaps/>
        </w:rPr>
        <w:lastRenderedPageBreak/>
        <w:t>Best Practice 10B</w:t>
      </w:r>
      <w:r w:rsidRPr="00573FA5">
        <w:rPr>
          <w:rFonts w:ascii="Century Schoolbook" w:hAnsi="Century Schoolbook"/>
        </w:rPr>
        <w:t xml:space="preserve">: </w:t>
      </w:r>
      <w:r>
        <w:rPr>
          <w:rFonts w:ascii="Century Schoolbook" w:hAnsi="Century Schoolbook"/>
        </w:rPr>
        <w:t>Where t</w:t>
      </w:r>
      <w:r w:rsidRPr="00573FA5">
        <w:rPr>
          <w:rFonts w:ascii="Century Schoolbook" w:hAnsi="Century Schoolbook"/>
        </w:rPr>
        <w:t xml:space="preserve">he court </w:t>
      </w:r>
      <w:r>
        <w:rPr>
          <w:rFonts w:ascii="Century Schoolbook" w:hAnsi="Century Schoolbook"/>
        </w:rPr>
        <w:t xml:space="preserve">is advised of issues that </w:t>
      </w:r>
      <w:r w:rsidRPr="00573FA5">
        <w:rPr>
          <w:rFonts w:ascii="Century Schoolbook" w:hAnsi="Century Schoolbook"/>
        </w:rPr>
        <w:t>create potential conflicts among counsel</w:t>
      </w:r>
      <w:r>
        <w:rPr>
          <w:rFonts w:ascii="Century Schoolbook" w:hAnsi="Century Schoolbook"/>
        </w:rPr>
        <w:t>,</w:t>
      </w:r>
      <w:r w:rsidRPr="00573FA5">
        <w:rPr>
          <w:rFonts w:ascii="Century Schoolbook" w:hAnsi="Century Schoolbook"/>
        </w:rPr>
        <w:t xml:space="preserve"> </w:t>
      </w:r>
      <w:r>
        <w:rPr>
          <w:rFonts w:ascii="Century Schoolbook" w:hAnsi="Century Schoolbook"/>
        </w:rPr>
        <w:t xml:space="preserve">it </w:t>
      </w:r>
      <w:r w:rsidRPr="00573FA5">
        <w:rPr>
          <w:rFonts w:ascii="Century Schoolbook" w:hAnsi="Century Schoolbook"/>
        </w:rPr>
        <w:t xml:space="preserve">should </w:t>
      </w:r>
      <w:r>
        <w:rPr>
          <w:rFonts w:ascii="Century Schoolbook" w:hAnsi="Century Schoolbook"/>
        </w:rPr>
        <w:t xml:space="preserve">institute measures that </w:t>
      </w:r>
      <w:r w:rsidRPr="00573FA5">
        <w:rPr>
          <w:rFonts w:ascii="Century Schoolbook" w:hAnsi="Century Schoolbook"/>
        </w:rPr>
        <w:t>permit non-leadership counsel to provide input.</w:t>
      </w:r>
    </w:p>
    <w:p w:rsidR="00610156" w:rsidRPr="00573FA5" w:rsidRDefault="00610156" w:rsidP="00610156">
      <w:pPr>
        <w:pStyle w:val="BodyText"/>
        <w:ind w:left="720" w:right="720"/>
        <w:contextualSpacing/>
        <w:rPr>
          <w:rFonts w:ascii="Century Schoolbook" w:hAnsi="Century Schoolbook"/>
          <w:i/>
        </w:rPr>
      </w:pPr>
    </w:p>
    <w:p w:rsidR="00610156" w:rsidRPr="00573FA5" w:rsidRDefault="00CA3C6F" w:rsidP="00610156">
      <w:pPr>
        <w:ind w:firstLine="720"/>
        <w:contextualSpacing/>
        <w:rPr>
          <w:rFonts w:ascii="Century Schoolbook" w:hAnsi="Century Schoolbook"/>
          <w:sz w:val="24"/>
          <w:szCs w:val="24"/>
        </w:rPr>
      </w:pPr>
      <w:r>
        <w:rPr>
          <w:rFonts w:ascii="Century Schoolbook" w:hAnsi="Century Schoolbook"/>
          <w:sz w:val="24"/>
          <w:szCs w:val="24"/>
        </w:rPr>
        <w:t>D</w:t>
      </w:r>
      <w:r w:rsidRPr="00573FA5">
        <w:rPr>
          <w:rFonts w:ascii="Century Schoolbook" w:hAnsi="Century Schoolbook"/>
          <w:sz w:val="24"/>
          <w:szCs w:val="24"/>
        </w:rPr>
        <w:t xml:space="preserve">isagreements among lead and non-leadership counsel </w:t>
      </w:r>
      <w:r>
        <w:rPr>
          <w:rFonts w:ascii="Century Schoolbook" w:hAnsi="Century Schoolbook"/>
          <w:sz w:val="24"/>
          <w:szCs w:val="24"/>
        </w:rPr>
        <w:t xml:space="preserve">commonly arise at </w:t>
      </w:r>
      <w:r w:rsidRPr="00573FA5">
        <w:rPr>
          <w:rFonts w:ascii="Century Schoolbook" w:hAnsi="Century Schoolbook"/>
          <w:sz w:val="24"/>
          <w:szCs w:val="24"/>
        </w:rPr>
        <w:t>certain, discrete decision points in an MDL , including:</w:t>
      </w:r>
      <w:r>
        <w:rPr>
          <w:rFonts w:ascii="Century Schoolbook" w:hAnsi="Century Schoolbook"/>
          <w:sz w:val="24"/>
          <w:szCs w:val="24"/>
        </w:rPr>
        <w:t xml:space="preserve"> </w:t>
      </w:r>
      <w:r w:rsidRPr="00573FA5">
        <w:rPr>
          <w:rFonts w:ascii="Century Schoolbook" w:hAnsi="Century Schoolbook"/>
          <w:sz w:val="24"/>
          <w:szCs w:val="24"/>
        </w:rPr>
        <w:t xml:space="preserve"> (1) selection of </w:t>
      </w:r>
      <w:r>
        <w:rPr>
          <w:rFonts w:ascii="Century Schoolbook" w:hAnsi="Century Schoolbook"/>
          <w:sz w:val="24"/>
          <w:szCs w:val="24"/>
        </w:rPr>
        <w:t xml:space="preserve">bellwether </w:t>
      </w:r>
      <w:r w:rsidRPr="00573FA5">
        <w:rPr>
          <w:rFonts w:ascii="Century Schoolbook" w:hAnsi="Century Schoolbook"/>
          <w:sz w:val="24"/>
          <w:szCs w:val="24"/>
        </w:rPr>
        <w:t xml:space="preserve">trial counsel; (2) decisions </w:t>
      </w:r>
      <w:r>
        <w:rPr>
          <w:rFonts w:ascii="Century Schoolbook" w:hAnsi="Century Schoolbook"/>
          <w:sz w:val="24"/>
          <w:szCs w:val="24"/>
        </w:rPr>
        <w:t xml:space="preserve">to pursue or abandon </w:t>
      </w:r>
      <w:r w:rsidRPr="00573FA5">
        <w:rPr>
          <w:rFonts w:ascii="Century Schoolbook" w:hAnsi="Century Schoolbook"/>
          <w:sz w:val="24"/>
          <w:szCs w:val="24"/>
        </w:rPr>
        <w:t>claims</w:t>
      </w:r>
      <w:r>
        <w:rPr>
          <w:rFonts w:ascii="Century Schoolbook" w:hAnsi="Century Schoolbook"/>
          <w:sz w:val="24"/>
          <w:szCs w:val="24"/>
        </w:rPr>
        <w:t>/</w:t>
      </w:r>
      <w:r w:rsidRPr="00573FA5">
        <w:rPr>
          <w:rFonts w:ascii="Century Schoolbook" w:hAnsi="Century Schoolbook"/>
          <w:sz w:val="24"/>
          <w:szCs w:val="24"/>
        </w:rPr>
        <w:t xml:space="preserve">theories in </w:t>
      </w:r>
      <w:r>
        <w:rPr>
          <w:rFonts w:ascii="Century Schoolbook" w:hAnsi="Century Schoolbook"/>
          <w:sz w:val="24"/>
          <w:szCs w:val="24"/>
        </w:rPr>
        <w:t xml:space="preserve">discovery and bellwether </w:t>
      </w:r>
      <w:r w:rsidRPr="00573FA5">
        <w:rPr>
          <w:rFonts w:ascii="Century Schoolbook" w:hAnsi="Century Schoolbook"/>
          <w:sz w:val="24"/>
          <w:szCs w:val="24"/>
        </w:rPr>
        <w:t xml:space="preserve">trials; and (3) resources </w:t>
      </w:r>
      <w:r>
        <w:rPr>
          <w:rFonts w:ascii="Century Schoolbook" w:hAnsi="Century Schoolbook"/>
          <w:sz w:val="24"/>
          <w:szCs w:val="24"/>
        </w:rPr>
        <w:t>(</w:t>
      </w:r>
      <w:r w:rsidRPr="00573FA5">
        <w:rPr>
          <w:rFonts w:ascii="Century Schoolbook" w:hAnsi="Century Schoolbook"/>
          <w:sz w:val="24"/>
          <w:szCs w:val="24"/>
        </w:rPr>
        <w:t>discovery, trial packages, experts</w:t>
      </w:r>
      <w:r>
        <w:rPr>
          <w:rFonts w:ascii="Century Schoolbook" w:hAnsi="Century Schoolbook"/>
          <w:sz w:val="24"/>
          <w:szCs w:val="24"/>
        </w:rPr>
        <w:t xml:space="preserve">) </w:t>
      </w:r>
      <w:r w:rsidRPr="00573FA5">
        <w:rPr>
          <w:rFonts w:ascii="Century Schoolbook" w:hAnsi="Century Schoolbook"/>
          <w:sz w:val="24"/>
          <w:szCs w:val="24"/>
        </w:rPr>
        <w:t xml:space="preserve"> </w:t>
      </w:r>
      <w:r>
        <w:rPr>
          <w:rFonts w:ascii="Century Schoolbook" w:hAnsi="Century Schoolbook"/>
          <w:sz w:val="24"/>
          <w:szCs w:val="24"/>
        </w:rPr>
        <w:t xml:space="preserve">provided </w:t>
      </w:r>
      <w:r w:rsidRPr="00573FA5">
        <w:rPr>
          <w:rFonts w:ascii="Century Schoolbook" w:hAnsi="Century Schoolbook"/>
          <w:sz w:val="24"/>
          <w:szCs w:val="24"/>
        </w:rPr>
        <w:t xml:space="preserve">to lawyers preparing individual cases outside </w:t>
      </w:r>
      <w:r>
        <w:rPr>
          <w:rFonts w:ascii="Century Schoolbook" w:hAnsi="Century Schoolbook"/>
          <w:sz w:val="24"/>
          <w:szCs w:val="24"/>
        </w:rPr>
        <w:t>the</w:t>
      </w:r>
      <w:r w:rsidRPr="00573FA5">
        <w:rPr>
          <w:rFonts w:ascii="Century Schoolbook" w:hAnsi="Century Schoolbook"/>
          <w:sz w:val="24"/>
          <w:szCs w:val="24"/>
        </w:rPr>
        <w:t xml:space="preserve">. In consultation with lead counsel, the court </w:t>
      </w:r>
      <w:r>
        <w:rPr>
          <w:rFonts w:ascii="Century Schoolbook" w:hAnsi="Century Schoolbook"/>
          <w:sz w:val="24"/>
          <w:szCs w:val="24"/>
        </w:rPr>
        <w:t xml:space="preserve">should </w:t>
      </w:r>
      <w:r w:rsidRPr="00573FA5">
        <w:rPr>
          <w:rFonts w:ascii="Century Schoolbook" w:hAnsi="Century Schoolbook"/>
          <w:sz w:val="24"/>
          <w:szCs w:val="24"/>
        </w:rPr>
        <w:t xml:space="preserve">develop a process </w:t>
      </w:r>
      <w:r>
        <w:rPr>
          <w:rFonts w:ascii="Century Schoolbook" w:hAnsi="Century Schoolbook"/>
          <w:sz w:val="24"/>
          <w:szCs w:val="24"/>
        </w:rPr>
        <w:t xml:space="preserve">whereby </w:t>
      </w:r>
      <w:r w:rsidR="00F22AE3">
        <w:rPr>
          <w:rFonts w:ascii="Century Schoolbook" w:hAnsi="Century Schoolbook"/>
          <w:sz w:val="24"/>
          <w:szCs w:val="24"/>
        </w:rPr>
        <w:t xml:space="preserve">non-leadership counsel </w:t>
      </w:r>
      <w:r w:rsidRPr="00573FA5">
        <w:rPr>
          <w:rFonts w:ascii="Century Schoolbook" w:hAnsi="Century Schoolbook"/>
          <w:sz w:val="24"/>
          <w:szCs w:val="24"/>
        </w:rPr>
        <w:t xml:space="preserve">can report issues or concerns to the court on a regular basis (perhaps quarterly). The court may seek explanation from lead counsel as to how these matters are being handled. </w:t>
      </w:r>
    </w:p>
    <w:p w:rsidR="00610156" w:rsidRPr="00573FA5" w:rsidRDefault="00610156" w:rsidP="00610156">
      <w:pPr>
        <w:ind w:firstLine="720"/>
        <w:contextualSpacing/>
        <w:rPr>
          <w:rFonts w:ascii="Century Schoolbook" w:hAnsi="Century Schoolbook"/>
          <w:sz w:val="24"/>
          <w:szCs w:val="24"/>
        </w:rPr>
      </w:pPr>
    </w:p>
    <w:p w:rsidR="00610156" w:rsidRPr="00573FA5" w:rsidRDefault="00CA3C6F" w:rsidP="00610156">
      <w:pPr>
        <w:ind w:firstLine="720"/>
        <w:contextualSpacing/>
        <w:rPr>
          <w:rFonts w:ascii="Century Schoolbook" w:hAnsi="Century Schoolbook"/>
          <w:sz w:val="24"/>
          <w:szCs w:val="24"/>
        </w:rPr>
      </w:pPr>
      <w:r w:rsidRPr="00573FA5">
        <w:rPr>
          <w:rFonts w:ascii="Century Schoolbook" w:hAnsi="Century Schoolbook"/>
          <w:sz w:val="24"/>
          <w:szCs w:val="24"/>
        </w:rPr>
        <w:t xml:space="preserve">In some instances, concern </w:t>
      </w:r>
      <w:r w:rsidR="00517156">
        <w:rPr>
          <w:rFonts w:ascii="Century Schoolbook" w:hAnsi="Century Schoolbook"/>
          <w:sz w:val="24"/>
          <w:szCs w:val="24"/>
        </w:rPr>
        <w:t>about</w:t>
      </w:r>
      <w:r w:rsidRPr="00573FA5">
        <w:rPr>
          <w:rFonts w:ascii="Century Schoolbook" w:hAnsi="Century Schoolbook"/>
          <w:sz w:val="24"/>
          <w:szCs w:val="24"/>
        </w:rPr>
        <w:t xml:space="preserve"> resources being made available to non-leadership lawyers may not </w:t>
      </w:r>
      <w:r>
        <w:rPr>
          <w:rFonts w:ascii="Century Schoolbook" w:hAnsi="Century Schoolbook"/>
          <w:sz w:val="24"/>
          <w:szCs w:val="24"/>
        </w:rPr>
        <w:t>arise</w:t>
      </w:r>
      <w:r w:rsidRPr="00573FA5">
        <w:rPr>
          <w:rFonts w:ascii="Century Schoolbook" w:hAnsi="Century Schoolbook"/>
          <w:sz w:val="24"/>
          <w:szCs w:val="24"/>
        </w:rPr>
        <w:t xml:space="preserve"> until the coordinated proceedings near conclusion, when </w:t>
      </w:r>
      <w:r>
        <w:rPr>
          <w:rFonts w:ascii="Century Schoolbook" w:hAnsi="Century Schoolbook"/>
          <w:sz w:val="24"/>
          <w:szCs w:val="24"/>
        </w:rPr>
        <w:t xml:space="preserve">remand is imminent for </w:t>
      </w:r>
      <w:r w:rsidRPr="00573FA5">
        <w:rPr>
          <w:rFonts w:ascii="Century Schoolbook" w:hAnsi="Century Schoolbook"/>
          <w:sz w:val="24"/>
          <w:szCs w:val="24"/>
        </w:rPr>
        <w:t>non-bellwether cases mov</w:t>
      </w:r>
      <w:r>
        <w:rPr>
          <w:rFonts w:ascii="Century Schoolbook" w:hAnsi="Century Schoolbook"/>
          <w:sz w:val="24"/>
          <w:szCs w:val="24"/>
        </w:rPr>
        <w:t>ing</w:t>
      </w:r>
      <w:r w:rsidRPr="00573FA5">
        <w:rPr>
          <w:rFonts w:ascii="Century Schoolbook" w:hAnsi="Century Schoolbook"/>
          <w:sz w:val="24"/>
          <w:szCs w:val="24"/>
        </w:rPr>
        <w:t xml:space="preserve"> forward on an ind</w:t>
      </w:r>
      <w:r w:rsidR="00517156">
        <w:rPr>
          <w:rFonts w:ascii="Century Schoolbook" w:hAnsi="Century Schoolbook"/>
          <w:sz w:val="24"/>
          <w:szCs w:val="24"/>
        </w:rPr>
        <w:t>ividual basis. The court should</w:t>
      </w:r>
      <w:r w:rsidRPr="00573FA5">
        <w:rPr>
          <w:rFonts w:ascii="Century Schoolbook" w:hAnsi="Century Schoolbook"/>
          <w:sz w:val="24"/>
          <w:szCs w:val="24"/>
        </w:rPr>
        <w:t xml:space="preserve"> </w:t>
      </w:r>
      <w:r>
        <w:rPr>
          <w:rFonts w:ascii="Century Schoolbook" w:hAnsi="Century Schoolbook"/>
          <w:sz w:val="24"/>
          <w:szCs w:val="24"/>
        </w:rPr>
        <w:t xml:space="preserve">provide an avenue </w:t>
      </w:r>
      <w:r w:rsidRPr="00573FA5">
        <w:rPr>
          <w:rFonts w:ascii="Century Schoolbook" w:hAnsi="Century Schoolbook"/>
          <w:sz w:val="24"/>
          <w:szCs w:val="24"/>
        </w:rPr>
        <w:t xml:space="preserve">at </w:t>
      </w:r>
      <w:r>
        <w:rPr>
          <w:rFonts w:ascii="Century Schoolbook" w:hAnsi="Century Schoolbook"/>
          <w:sz w:val="24"/>
          <w:szCs w:val="24"/>
        </w:rPr>
        <w:t xml:space="preserve">an </w:t>
      </w:r>
      <w:r w:rsidRPr="00573FA5">
        <w:rPr>
          <w:rFonts w:ascii="Century Schoolbook" w:hAnsi="Century Schoolbook"/>
          <w:sz w:val="24"/>
          <w:szCs w:val="24"/>
        </w:rPr>
        <w:t xml:space="preserve">earlier stage in the litigation </w:t>
      </w:r>
      <w:r>
        <w:rPr>
          <w:rFonts w:ascii="Century Schoolbook" w:hAnsi="Century Schoolbook"/>
          <w:sz w:val="24"/>
          <w:szCs w:val="24"/>
        </w:rPr>
        <w:t xml:space="preserve">to address the </w:t>
      </w:r>
      <w:r w:rsidRPr="00573FA5">
        <w:rPr>
          <w:rFonts w:ascii="Century Schoolbook" w:hAnsi="Century Schoolbook"/>
          <w:sz w:val="24"/>
          <w:szCs w:val="24"/>
        </w:rPr>
        <w:t xml:space="preserve">steps lead counsel are taking to </w:t>
      </w:r>
      <w:r>
        <w:rPr>
          <w:rFonts w:ascii="Century Schoolbook" w:hAnsi="Century Schoolbook"/>
          <w:sz w:val="24"/>
          <w:szCs w:val="24"/>
        </w:rPr>
        <w:t>provide the necessary resources for post-remand litigation</w:t>
      </w:r>
      <w:r w:rsidRPr="00573FA5">
        <w:rPr>
          <w:rFonts w:ascii="Century Schoolbook" w:hAnsi="Century Schoolbook"/>
          <w:sz w:val="24"/>
          <w:szCs w:val="24"/>
        </w:rPr>
        <w:t>.</w:t>
      </w:r>
    </w:p>
    <w:p w:rsidR="00610156" w:rsidRPr="00573FA5" w:rsidRDefault="00610156" w:rsidP="00610156">
      <w:pPr>
        <w:ind w:firstLine="720"/>
        <w:contextualSpacing/>
        <w:rPr>
          <w:rFonts w:ascii="Century Schoolbook" w:hAnsi="Century Schoolbook"/>
          <w:sz w:val="24"/>
          <w:szCs w:val="24"/>
        </w:rPr>
      </w:pPr>
    </w:p>
    <w:p w:rsidR="00610156" w:rsidRPr="00573FA5" w:rsidRDefault="00CA3C6F" w:rsidP="00610156">
      <w:pPr>
        <w:ind w:firstLine="720"/>
        <w:contextualSpacing/>
        <w:rPr>
          <w:rFonts w:ascii="Century Schoolbook" w:hAnsi="Century Schoolbook"/>
          <w:color w:val="000000"/>
          <w:sz w:val="24"/>
          <w:szCs w:val="24"/>
        </w:rPr>
      </w:pPr>
      <w:r w:rsidRPr="00573FA5">
        <w:rPr>
          <w:rFonts w:ascii="Century Schoolbook" w:hAnsi="Century Schoolbook"/>
          <w:sz w:val="24"/>
          <w:szCs w:val="24"/>
        </w:rPr>
        <w:t xml:space="preserve">Settlement strategy </w:t>
      </w:r>
      <w:r>
        <w:rPr>
          <w:rFonts w:ascii="Century Schoolbook" w:hAnsi="Century Schoolbook"/>
          <w:sz w:val="24"/>
          <w:szCs w:val="24"/>
        </w:rPr>
        <w:t xml:space="preserve">also has a high </w:t>
      </w:r>
      <w:r w:rsidRPr="00573FA5">
        <w:rPr>
          <w:rFonts w:ascii="Century Schoolbook" w:hAnsi="Century Schoolbook"/>
          <w:sz w:val="24"/>
          <w:szCs w:val="24"/>
        </w:rPr>
        <w:t>conflict</w:t>
      </w:r>
      <w:r>
        <w:rPr>
          <w:rFonts w:ascii="Century Schoolbook" w:hAnsi="Century Schoolbook"/>
          <w:sz w:val="24"/>
          <w:szCs w:val="24"/>
        </w:rPr>
        <w:t xml:space="preserve"> potential</w:t>
      </w:r>
      <w:r w:rsidRPr="00573FA5">
        <w:rPr>
          <w:rFonts w:ascii="Century Schoolbook" w:hAnsi="Century Schoolbook"/>
          <w:sz w:val="24"/>
          <w:szCs w:val="24"/>
        </w:rPr>
        <w:t xml:space="preserve">, but due to the nature of most mass-tort negotiations, </w:t>
      </w:r>
      <w:r>
        <w:rPr>
          <w:rFonts w:ascii="Century Schoolbook" w:hAnsi="Century Schoolbook"/>
          <w:sz w:val="24"/>
          <w:szCs w:val="24"/>
        </w:rPr>
        <w:t xml:space="preserve">open vetting </w:t>
      </w:r>
      <w:r w:rsidRPr="00573FA5">
        <w:rPr>
          <w:rFonts w:ascii="Century Schoolbook" w:hAnsi="Century Schoolbook"/>
          <w:sz w:val="24"/>
          <w:szCs w:val="24"/>
        </w:rPr>
        <w:t xml:space="preserve">is </w:t>
      </w:r>
      <w:r>
        <w:rPr>
          <w:rFonts w:ascii="Century Schoolbook" w:hAnsi="Century Schoolbook"/>
          <w:sz w:val="24"/>
          <w:szCs w:val="24"/>
        </w:rPr>
        <w:t>difficult</w:t>
      </w:r>
      <w:r w:rsidRPr="00573FA5">
        <w:rPr>
          <w:rFonts w:ascii="Century Schoolbook" w:hAnsi="Century Schoolbook"/>
          <w:sz w:val="24"/>
          <w:szCs w:val="24"/>
        </w:rPr>
        <w:t xml:space="preserve">. Settlement negotiations are typically confidential, and disclosure of ongoing discussions would likely jeopardize their success. </w:t>
      </w:r>
      <w:r>
        <w:rPr>
          <w:rFonts w:ascii="Century Schoolbook" w:hAnsi="Century Schoolbook"/>
          <w:sz w:val="24"/>
          <w:szCs w:val="24"/>
        </w:rPr>
        <w:t>If significant acrimony arises</w:t>
      </w:r>
      <w:r w:rsidRPr="00573FA5">
        <w:rPr>
          <w:rFonts w:ascii="Century Schoolbook" w:hAnsi="Century Schoolbook"/>
          <w:sz w:val="24"/>
          <w:szCs w:val="24"/>
        </w:rPr>
        <w:t xml:space="preserve">, the court </w:t>
      </w:r>
      <w:r>
        <w:rPr>
          <w:rFonts w:ascii="Century Schoolbook" w:hAnsi="Century Schoolbook"/>
          <w:sz w:val="24"/>
          <w:szCs w:val="24"/>
        </w:rPr>
        <w:t>could</w:t>
      </w:r>
      <w:r w:rsidRPr="00573FA5">
        <w:rPr>
          <w:rFonts w:ascii="Century Schoolbook" w:hAnsi="Century Schoolbook"/>
          <w:sz w:val="24"/>
          <w:szCs w:val="24"/>
        </w:rPr>
        <w:t xml:space="preserve"> consider appoint</w:t>
      </w:r>
      <w:r>
        <w:rPr>
          <w:rFonts w:ascii="Century Schoolbook" w:hAnsi="Century Schoolbook"/>
          <w:sz w:val="24"/>
          <w:szCs w:val="24"/>
        </w:rPr>
        <w:t xml:space="preserve">ing </w:t>
      </w:r>
      <w:r w:rsidRPr="00573FA5">
        <w:rPr>
          <w:rFonts w:ascii="Century Schoolbook" w:hAnsi="Century Schoolbook"/>
          <w:sz w:val="24"/>
          <w:szCs w:val="24"/>
        </w:rPr>
        <w:t>a settlement master</w:t>
      </w:r>
      <w:r>
        <w:rPr>
          <w:rFonts w:ascii="Century Schoolbook" w:hAnsi="Century Schoolbook"/>
          <w:sz w:val="24"/>
          <w:szCs w:val="24"/>
        </w:rPr>
        <w:t>,</w:t>
      </w:r>
      <w:r w:rsidRPr="00573FA5">
        <w:rPr>
          <w:rFonts w:ascii="Century Schoolbook" w:hAnsi="Century Schoolbook"/>
          <w:sz w:val="24"/>
          <w:szCs w:val="24"/>
        </w:rPr>
        <w:t xml:space="preserve"> or </w:t>
      </w:r>
      <w:r>
        <w:rPr>
          <w:rFonts w:ascii="Century Schoolbook" w:hAnsi="Century Schoolbook"/>
          <w:sz w:val="24"/>
          <w:szCs w:val="24"/>
        </w:rPr>
        <w:t xml:space="preserve">conduct </w:t>
      </w:r>
      <w:r w:rsidRPr="00573FA5">
        <w:rPr>
          <w:rFonts w:ascii="Century Schoolbook" w:hAnsi="Century Schoolbook"/>
          <w:sz w:val="24"/>
          <w:szCs w:val="24"/>
        </w:rPr>
        <w:t>private discussions with</w:t>
      </w:r>
      <w:r>
        <w:rPr>
          <w:rFonts w:ascii="Century Schoolbook" w:hAnsi="Century Schoolbook"/>
          <w:sz w:val="24"/>
          <w:szCs w:val="24"/>
        </w:rPr>
        <w:t xml:space="preserve"> lead counsel </w:t>
      </w:r>
      <w:r w:rsidRPr="00573FA5">
        <w:rPr>
          <w:rFonts w:ascii="Century Schoolbook" w:hAnsi="Century Schoolbook"/>
          <w:sz w:val="24"/>
          <w:szCs w:val="24"/>
        </w:rPr>
        <w:t xml:space="preserve"> or others specifically tasked with </w:t>
      </w:r>
      <w:r>
        <w:rPr>
          <w:rFonts w:ascii="Century Schoolbook" w:hAnsi="Century Schoolbook"/>
          <w:sz w:val="24"/>
          <w:szCs w:val="24"/>
        </w:rPr>
        <w:t xml:space="preserve">carrying out </w:t>
      </w:r>
      <w:r w:rsidRPr="00573FA5">
        <w:rPr>
          <w:rFonts w:ascii="Century Schoolbook" w:hAnsi="Century Schoolbook"/>
          <w:sz w:val="24"/>
          <w:szCs w:val="24"/>
        </w:rPr>
        <w:t xml:space="preserve">settlement discussions. Alternatively, the court could </w:t>
      </w:r>
      <w:r>
        <w:rPr>
          <w:rFonts w:ascii="Century Schoolbook" w:hAnsi="Century Schoolbook"/>
          <w:sz w:val="24"/>
          <w:szCs w:val="24"/>
        </w:rPr>
        <w:t xml:space="preserve">designate a </w:t>
      </w:r>
      <w:r w:rsidRPr="00573FA5">
        <w:rPr>
          <w:rFonts w:ascii="Century Schoolbook" w:hAnsi="Century Schoolbook"/>
          <w:sz w:val="24"/>
          <w:szCs w:val="24"/>
        </w:rPr>
        <w:t>liaison counsel to act as an intermediary, communicating concerns of non-leadership counsel.</w:t>
      </w:r>
      <w:r w:rsidRPr="00573FA5">
        <w:rPr>
          <w:rFonts w:ascii="Century Schoolbook" w:hAnsi="Century Schoolbook"/>
          <w:color w:val="000000"/>
          <w:sz w:val="24"/>
          <w:szCs w:val="24"/>
        </w:rPr>
        <w:t xml:space="preserve"> </w:t>
      </w:r>
    </w:p>
    <w:p w:rsidR="00610156" w:rsidRPr="00573FA5" w:rsidRDefault="00610156" w:rsidP="00610156">
      <w:pPr>
        <w:ind w:firstLine="720"/>
        <w:contextualSpacing/>
        <w:rPr>
          <w:rFonts w:ascii="Century Schoolbook" w:hAnsi="Century Schoolbook"/>
          <w:b/>
          <w:color w:val="000000"/>
          <w:sz w:val="24"/>
          <w:szCs w:val="24"/>
        </w:rPr>
      </w:pPr>
    </w:p>
    <w:p w:rsidR="00610156" w:rsidRPr="00573FA5" w:rsidRDefault="00CA3C6F" w:rsidP="00610156">
      <w:pPr>
        <w:ind w:left="720" w:right="720"/>
        <w:contextualSpacing/>
        <w:jc w:val="both"/>
        <w:rPr>
          <w:rFonts w:ascii="Century Schoolbook" w:hAnsi="Century Schoolbook"/>
          <w:b/>
          <w:color w:val="000000"/>
          <w:sz w:val="24"/>
          <w:szCs w:val="24"/>
        </w:rPr>
      </w:pPr>
      <w:r w:rsidRPr="00573FA5">
        <w:rPr>
          <w:rFonts w:ascii="Century Schoolbook" w:hAnsi="Century Schoolbook"/>
          <w:b/>
          <w:smallCaps/>
          <w:color w:val="000000"/>
          <w:sz w:val="24"/>
          <w:szCs w:val="24"/>
        </w:rPr>
        <w:t>MDL Standard 11</w:t>
      </w:r>
      <w:r w:rsidRPr="00573FA5">
        <w:rPr>
          <w:rFonts w:ascii="Century Schoolbook" w:hAnsi="Century Schoolbook"/>
          <w:b/>
          <w:color w:val="000000"/>
          <w:sz w:val="24"/>
          <w:szCs w:val="24"/>
        </w:rPr>
        <w:t xml:space="preserve">: </w:t>
      </w:r>
      <w:r w:rsidRPr="00573FA5">
        <w:rPr>
          <w:rFonts w:ascii="Century Schoolbook" w:hAnsi="Century Schoolbook"/>
          <w:color w:val="000000"/>
          <w:sz w:val="24"/>
          <w:szCs w:val="24"/>
        </w:rPr>
        <w:t xml:space="preserve">The court and lead counsel should develop practices to identify potential conflicts and disagreements early on between non-leadership counsel and lead counsel. </w:t>
      </w:r>
    </w:p>
    <w:p w:rsidR="00610156" w:rsidRPr="00573FA5" w:rsidRDefault="00610156" w:rsidP="00610156">
      <w:pPr>
        <w:ind w:left="720" w:right="720"/>
        <w:contextualSpacing/>
        <w:rPr>
          <w:rFonts w:ascii="Century Schoolbook" w:hAnsi="Century Schoolbook"/>
          <w:color w:val="000000"/>
          <w:sz w:val="24"/>
          <w:szCs w:val="24"/>
        </w:rPr>
      </w:pPr>
    </w:p>
    <w:p w:rsidR="00610156" w:rsidRPr="00573FA5" w:rsidRDefault="00CA3C6F" w:rsidP="00610156">
      <w:pPr>
        <w:pStyle w:val="BodyText"/>
        <w:ind w:firstLine="720"/>
        <w:contextualSpacing/>
        <w:rPr>
          <w:rFonts w:ascii="Century Schoolbook" w:hAnsi="Century Schoolbook"/>
        </w:rPr>
      </w:pPr>
      <w:r>
        <w:rPr>
          <w:rFonts w:ascii="Century Schoolbook" w:hAnsi="Century Schoolbook"/>
        </w:rPr>
        <w:t>C</w:t>
      </w:r>
      <w:r w:rsidRPr="00573FA5">
        <w:rPr>
          <w:rFonts w:ascii="Century Schoolbook" w:hAnsi="Century Schoolbook"/>
        </w:rPr>
        <w:t xml:space="preserve">ourt appointment authorizes lead counsel to manage the MDL on behalf of all plaintiffs and their retained counsel. Ideally, lead counsel performs </w:t>
      </w:r>
      <w:r>
        <w:rPr>
          <w:rFonts w:ascii="Century Schoolbook" w:hAnsi="Century Schoolbook"/>
        </w:rPr>
        <w:t>these</w:t>
      </w:r>
      <w:r w:rsidRPr="00573FA5">
        <w:rPr>
          <w:rFonts w:ascii="Century Schoolbook" w:hAnsi="Century Schoolbook"/>
        </w:rPr>
        <w:t xml:space="preserve"> functions to maximize the common and collective good of all plaintiffs. </w:t>
      </w:r>
      <w:r>
        <w:rPr>
          <w:rFonts w:ascii="Century Schoolbook" w:hAnsi="Century Schoolbook"/>
        </w:rPr>
        <w:t xml:space="preserve">Inevitably, </w:t>
      </w:r>
      <w:r w:rsidRPr="00573FA5">
        <w:rPr>
          <w:rFonts w:ascii="Century Schoolbook" w:hAnsi="Century Schoolbook"/>
        </w:rPr>
        <w:t xml:space="preserve">disagreements over strategy, selection of bellwether trials, allocation of common benefit funds, etc., </w:t>
      </w:r>
      <w:r>
        <w:rPr>
          <w:rFonts w:ascii="Century Schoolbook" w:hAnsi="Century Schoolbook"/>
        </w:rPr>
        <w:t>will</w:t>
      </w:r>
      <w:r w:rsidRPr="00573FA5">
        <w:rPr>
          <w:rFonts w:ascii="Century Schoolbook" w:hAnsi="Century Schoolbook"/>
        </w:rPr>
        <w:t xml:space="preserve"> cause conflicts</w:t>
      </w:r>
      <w:r>
        <w:rPr>
          <w:rFonts w:ascii="Century Schoolbook" w:hAnsi="Century Schoolbook"/>
        </w:rPr>
        <w:t>, which must be kept under control</w:t>
      </w:r>
      <w:r w:rsidRPr="00573FA5">
        <w:rPr>
          <w:rFonts w:ascii="Century Schoolbook" w:hAnsi="Century Schoolbook"/>
        </w:rPr>
        <w:t xml:space="preserve">. </w:t>
      </w:r>
      <w:r>
        <w:rPr>
          <w:rFonts w:ascii="Century Schoolbook" w:hAnsi="Century Schoolbook"/>
        </w:rPr>
        <w:t xml:space="preserve">In so doing, the court must balance </w:t>
      </w:r>
      <w:r w:rsidRPr="00573FA5">
        <w:rPr>
          <w:rFonts w:ascii="Century Schoolbook" w:hAnsi="Century Schoolbook"/>
        </w:rPr>
        <w:t xml:space="preserve">two important concerns: </w:t>
      </w:r>
      <w:r>
        <w:rPr>
          <w:rFonts w:ascii="Century Schoolbook" w:hAnsi="Century Schoolbook"/>
        </w:rPr>
        <w:t>en</w:t>
      </w:r>
      <w:r w:rsidRPr="00573FA5">
        <w:rPr>
          <w:rFonts w:ascii="Century Schoolbook" w:hAnsi="Century Schoolbook"/>
        </w:rPr>
        <w:t>sur</w:t>
      </w:r>
      <w:r>
        <w:rPr>
          <w:rFonts w:ascii="Century Schoolbook" w:hAnsi="Century Schoolbook"/>
        </w:rPr>
        <w:t>ing</w:t>
      </w:r>
      <w:r w:rsidRPr="00573FA5">
        <w:rPr>
          <w:rFonts w:ascii="Century Schoolbook" w:hAnsi="Century Schoolbook"/>
        </w:rPr>
        <w:t xml:space="preserve"> </w:t>
      </w:r>
      <w:r>
        <w:rPr>
          <w:rFonts w:ascii="Century Schoolbook" w:hAnsi="Century Schoolbook"/>
        </w:rPr>
        <w:t xml:space="preserve">that </w:t>
      </w:r>
      <w:r w:rsidRPr="00573FA5">
        <w:rPr>
          <w:rFonts w:ascii="Century Schoolbook" w:hAnsi="Century Schoolbook"/>
        </w:rPr>
        <w:t xml:space="preserve">real problems with </w:t>
      </w:r>
      <w:r>
        <w:rPr>
          <w:rFonts w:ascii="Century Schoolbook" w:hAnsi="Century Schoolbook"/>
        </w:rPr>
        <w:t xml:space="preserve">lead counsel </w:t>
      </w:r>
      <w:r w:rsidRPr="00573FA5">
        <w:rPr>
          <w:rFonts w:ascii="Century Schoolbook" w:hAnsi="Century Schoolbook"/>
        </w:rPr>
        <w:t xml:space="preserve">performance </w:t>
      </w:r>
      <w:r>
        <w:rPr>
          <w:rFonts w:ascii="Century Schoolbook" w:hAnsi="Century Schoolbook"/>
        </w:rPr>
        <w:t>are addressed</w:t>
      </w:r>
      <w:r w:rsidRPr="00573FA5">
        <w:rPr>
          <w:rFonts w:ascii="Century Schoolbook" w:hAnsi="Century Schoolbook"/>
        </w:rPr>
        <w:t xml:space="preserve">; </w:t>
      </w:r>
      <w:r>
        <w:rPr>
          <w:rFonts w:ascii="Century Schoolbook" w:hAnsi="Century Schoolbook"/>
        </w:rPr>
        <w:t xml:space="preserve">while at the same time preventing </w:t>
      </w:r>
      <w:r w:rsidRPr="00573FA5">
        <w:rPr>
          <w:rFonts w:ascii="Century Schoolbook" w:hAnsi="Century Schoolbook"/>
        </w:rPr>
        <w:t xml:space="preserve">complaints about lead counsel </w:t>
      </w:r>
      <w:r>
        <w:rPr>
          <w:rFonts w:ascii="Century Schoolbook" w:hAnsi="Century Schoolbook"/>
        </w:rPr>
        <w:t xml:space="preserve">from </w:t>
      </w:r>
      <w:r w:rsidRPr="00573FA5">
        <w:rPr>
          <w:rFonts w:ascii="Century Schoolbook" w:hAnsi="Century Schoolbook"/>
        </w:rPr>
        <w:t xml:space="preserve">being used to jockey for position or for other improper purposes. </w:t>
      </w:r>
      <w:r>
        <w:rPr>
          <w:rFonts w:ascii="Century Schoolbook" w:hAnsi="Century Schoolbook"/>
        </w:rPr>
        <w:t>R</w:t>
      </w:r>
      <w:r w:rsidRPr="00573FA5">
        <w:rPr>
          <w:rFonts w:ascii="Century Schoolbook" w:hAnsi="Century Schoolbook"/>
        </w:rPr>
        <w:t xml:space="preserve">equests to remove leadership counsel </w:t>
      </w:r>
      <w:r>
        <w:rPr>
          <w:rFonts w:ascii="Century Schoolbook" w:hAnsi="Century Schoolbook"/>
        </w:rPr>
        <w:t xml:space="preserve">should be entertained </w:t>
      </w:r>
      <w:r w:rsidRPr="00573FA5">
        <w:rPr>
          <w:rFonts w:ascii="Century Schoolbook" w:hAnsi="Century Schoolbook"/>
        </w:rPr>
        <w:t>only for very serious and acute problems.</w:t>
      </w:r>
    </w:p>
    <w:p w:rsidR="00610156" w:rsidRPr="00573FA5" w:rsidRDefault="00610156" w:rsidP="00610156">
      <w:pPr>
        <w:pStyle w:val="BodyText"/>
        <w:ind w:firstLine="720"/>
        <w:contextualSpacing/>
        <w:rPr>
          <w:rFonts w:ascii="Century Schoolbook" w:hAnsi="Century Schoolbook"/>
        </w:rPr>
      </w:pPr>
    </w:p>
    <w:p w:rsidR="00610156" w:rsidRPr="007113E7" w:rsidRDefault="00CA3C6F" w:rsidP="00610156">
      <w:pPr>
        <w:pStyle w:val="BodyText"/>
        <w:ind w:firstLine="720"/>
        <w:contextualSpacing/>
        <w:rPr>
          <w:rFonts w:ascii="Century Schoolbook" w:hAnsi="Century Schoolbook"/>
        </w:rPr>
      </w:pPr>
      <w:r w:rsidRPr="00573FA5">
        <w:rPr>
          <w:rFonts w:ascii="Century Schoolbook" w:hAnsi="Century Schoolbook"/>
        </w:rPr>
        <w:lastRenderedPageBreak/>
        <w:t xml:space="preserve">Consistent with </w:t>
      </w:r>
      <w:r w:rsidRPr="00573FA5">
        <w:rPr>
          <w:rFonts w:ascii="Century Schoolbook" w:hAnsi="Century Schoolbook"/>
          <w:smallCaps/>
        </w:rPr>
        <w:t>Best Practice 2C(</w:t>
      </w:r>
      <w:r w:rsidRPr="00573FA5">
        <w:rPr>
          <w:rFonts w:ascii="Century Schoolbook" w:hAnsi="Century Schoolbook"/>
        </w:rPr>
        <w:t xml:space="preserve">iv), the court may appoint </w:t>
      </w:r>
      <w:r>
        <w:rPr>
          <w:rFonts w:ascii="Century Schoolbook" w:hAnsi="Century Schoolbook"/>
        </w:rPr>
        <w:t>special</w:t>
      </w:r>
      <w:r w:rsidRPr="00573FA5">
        <w:rPr>
          <w:rFonts w:ascii="Century Schoolbook" w:hAnsi="Century Schoolbook"/>
        </w:rPr>
        <w:t xml:space="preserve"> liaison counsel </w:t>
      </w:r>
      <w:r>
        <w:rPr>
          <w:rFonts w:ascii="Century Schoolbook" w:hAnsi="Century Schoolbook"/>
        </w:rPr>
        <w:t xml:space="preserve">to be </w:t>
      </w:r>
      <w:r w:rsidRPr="00573FA5">
        <w:rPr>
          <w:rFonts w:ascii="Century Schoolbook" w:hAnsi="Century Schoolbook"/>
        </w:rPr>
        <w:t xml:space="preserve">alert </w:t>
      </w:r>
      <w:r>
        <w:rPr>
          <w:rFonts w:ascii="Century Schoolbook" w:hAnsi="Century Schoolbook"/>
        </w:rPr>
        <w:t xml:space="preserve">for </w:t>
      </w:r>
      <w:r w:rsidRPr="00573FA5">
        <w:rPr>
          <w:rFonts w:ascii="Century Schoolbook" w:hAnsi="Century Schoolbook"/>
        </w:rPr>
        <w:t xml:space="preserve">potential conflicts and disagreements. The roles and duties of </w:t>
      </w:r>
      <w:r>
        <w:rPr>
          <w:rFonts w:ascii="Century Schoolbook" w:hAnsi="Century Schoolbook"/>
        </w:rPr>
        <w:t>such</w:t>
      </w:r>
      <w:r w:rsidRPr="00573FA5">
        <w:rPr>
          <w:rFonts w:ascii="Century Schoolbook" w:hAnsi="Century Schoolbook"/>
        </w:rPr>
        <w:t xml:space="preserve"> liaison should be specified at the outset — including responsibility for communications between the court and other counsel, maintaining records of all orders, filings, and discovery, and ensuring that all counsel are apprised of developments in the litigation.</w:t>
      </w:r>
    </w:p>
    <w:p w:rsidR="00610156" w:rsidRPr="00573FA5" w:rsidRDefault="00610156" w:rsidP="00610156">
      <w:pPr>
        <w:pStyle w:val="BodyText"/>
        <w:ind w:left="720" w:right="720"/>
        <w:contextualSpacing/>
        <w:rPr>
          <w:rFonts w:ascii="Century Schoolbook" w:hAnsi="Century Schoolbook"/>
          <w:smallCaps/>
        </w:rPr>
      </w:pPr>
    </w:p>
    <w:p w:rsidR="00610156" w:rsidRPr="00573FA5" w:rsidRDefault="00CA3C6F" w:rsidP="00610156">
      <w:pPr>
        <w:pStyle w:val="BodyText"/>
        <w:ind w:left="720" w:right="720"/>
        <w:contextualSpacing/>
        <w:jc w:val="both"/>
        <w:rPr>
          <w:rFonts w:ascii="Century Schoolbook" w:hAnsi="Century Schoolbook"/>
          <w:i/>
        </w:rPr>
      </w:pPr>
      <w:r w:rsidRPr="00573FA5">
        <w:rPr>
          <w:rFonts w:ascii="Century Schoolbook" w:hAnsi="Century Schoolbook"/>
          <w:smallCaps/>
        </w:rPr>
        <w:t>Best Practice 11A</w:t>
      </w:r>
      <w:r w:rsidRPr="00573FA5">
        <w:rPr>
          <w:rFonts w:ascii="Century Schoolbook" w:hAnsi="Century Schoolbook"/>
        </w:rPr>
        <w:t xml:space="preserve">: The court </w:t>
      </w:r>
      <w:r w:rsidR="00404174">
        <w:rPr>
          <w:rFonts w:ascii="Century Schoolbook" w:hAnsi="Century Schoolbook"/>
        </w:rPr>
        <w:t>should</w:t>
      </w:r>
      <w:r>
        <w:rPr>
          <w:rFonts w:ascii="Century Schoolbook" w:hAnsi="Century Schoolbook"/>
        </w:rPr>
        <w:t xml:space="preserve"> issue </w:t>
      </w:r>
      <w:r w:rsidRPr="00573FA5">
        <w:rPr>
          <w:rFonts w:ascii="Century Schoolbook" w:hAnsi="Century Schoolbook"/>
        </w:rPr>
        <w:t xml:space="preserve">case-management order </w:t>
      </w:r>
      <w:r>
        <w:rPr>
          <w:rFonts w:ascii="Century Schoolbook" w:hAnsi="Century Schoolbook"/>
        </w:rPr>
        <w:t xml:space="preserve">delineating </w:t>
      </w:r>
      <w:r w:rsidRPr="00573FA5">
        <w:rPr>
          <w:rFonts w:ascii="Century Schoolbook" w:hAnsi="Century Schoolbook"/>
        </w:rPr>
        <w:t>the roles and obligations of lead counsel</w:t>
      </w:r>
      <w:r>
        <w:rPr>
          <w:rFonts w:ascii="Century Schoolbook" w:hAnsi="Century Schoolbook"/>
        </w:rPr>
        <w:t>, any liaison counsel,</w:t>
      </w:r>
      <w:r w:rsidRPr="00573FA5">
        <w:rPr>
          <w:rFonts w:ascii="Century Schoolbook" w:hAnsi="Century Schoolbook"/>
        </w:rPr>
        <w:t xml:space="preserve"> and plaintiffs’ counsel in individual cases.</w:t>
      </w:r>
      <w:r w:rsidRPr="00573FA5">
        <w:rPr>
          <w:rFonts w:ascii="Century Schoolbook" w:hAnsi="Century Schoolbook"/>
          <w:i/>
        </w:rPr>
        <w:t xml:space="preserve"> </w:t>
      </w:r>
    </w:p>
    <w:p w:rsidR="00610156" w:rsidRPr="00573FA5" w:rsidRDefault="00610156" w:rsidP="00610156">
      <w:pPr>
        <w:pStyle w:val="BodyText"/>
        <w:ind w:left="720" w:right="720"/>
        <w:contextualSpacing/>
        <w:rPr>
          <w:rFonts w:ascii="Century Schoolbook" w:hAnsi="Century Schoolbook"/>
          <w:i/>
        </w:rPr>
      </w:pPr>
    </w:p>
    <w:p w:rsidR="00610156" w:rsidRPr="00573FA5" w:rsidRDefault="00CA3C6F" w:rsidP="00610156">
      <w:pPr>
        <w:pStyle w:val="BodyText"/>
        <w:ind w:firstLine="720"/>
        <w:contextualSpacing/>
        <w:rPr>
          <w:rFonts w:ascii="Century Schoolbook" w:hAnsi="Century Schoolbook"/>
        </w:rPr>
      </w:pPr>
      <w:r w:rsidRPr="00573FA5">
        <w:rPr>
          <w:rFonts w:ascii="Century Schoolbook" w:hAnsi="Century Schoolbook"/>
        </w:rPr>
        <w:t xml:space="preserve">Potential conflicts and misunderstandings between lead and non-leadership counsel </w:t>
      </w:r>
      <w:r>
        <w:rPr>
          <w:rFonts w:ascii="Century Schoolbook" w:hAnsi="Century Schoolbook"/>
        </w:rPr>
        <w:t>can best</w:t>
      </w:r>
      <w:r w:rsidRPr="00573FA5">
        <w:rPr>
          <w:rFonts w:ascii="Century Schoolbook" w:hAnsi="Century Schoolbook"/>
        </w:rPr>
        <w:t xml:space="preserve"> be avoided if their respective roles and responsibilities are clearly delineated in a</w:t>
      </w:r>
      <w:r>
        <w:rPr>
          <w:rFonts w:ascii="Century Schoolbook" w:hAnsi="Century Schoolbook"/>
        </w:rPr>
        <w:t>n early</w:t>
      </w:r>
      <w:r w:rsidRPr="00573FA5">
        <w:rPr>
          <w:rFonts w:ascii="Century Schoolbook" w:hAnsi="Century Schoolbook"/>
        </w:rPr>
        <w:t xml:space="preserve"> case-management order. The </w:t>
      </w:r>
      <w:r>
        <w:rPr>
          <w:rFonts w:ascii="Century Schoolbook" w:hAnsi="Century Schoolbook"/>
        </w:rPr>
        <w:t>order</w:t>
      </w:r>
      <w:r w:rsidRPr="00573FA5">
        <w:rPr>
          <w:rFonts w:ascii="Century Schoolbook" w:hAnsi="Century Schoolbook"/>
        </w:rPr>
        <w:t xml:space="preserve"> should </w:t>
      </w:r>
      <w:r>
        <w:rPr>
          <w:rFonts w:ascii="Century Schoolbook" w:hAnsi="Century Schoolbook"/>
        </w:rPr>
        <w:t xml:space="preserve">provide that </w:t>
      </w:r>
      <w:r w:rsidRPr="00573FA5">
        <w:rPr>
          <w:rFonts w:ascii="Century Schoolbook" w:hAnsi="Century Schoolbook"/>
        </w:rPr>
        <w:t xml:space="preserve">non-leadership lawyers continue to have all of their normal obligations </w:t>
      </w:r>
      <w:r>
        <w:rPr>
          <w:rFonts w:ascii="Century Schoolbook" w:hAnsi="Century Schoolbook"/>
        </w:rPr>
        <w:t xml:space="preserve">to </w:t>
      </w:r>
      <w:r w:rsidRPr="00573FA5">
        <w:rPr>
          <w:rFonts w:ascii="Century Schoolbook" w:hAnsi="Century Schoolbook"/>
        </w:rPr>
        <w:t xml:space="preserve">their clients’ interests </w:t>
      </w:r>
      <w:r>
        <w:rPr>
          <w:rFonts w:ascii="Century Schoolbook" w:hAnsi="Century Schoolbook"/>
        </w:rPr>
        <w:t xml:space="preserve">must </w:t>
      </w:r>
      <w:r w:rsidRPr="00573FA5">
        <w:rPr>
          <w:rFonts w:ascii="Century Schoolbook" w:hAnsi="Century Schoolbook"/>
        </w:rPr>
        <w:t>comply with all court orders applica</w:t>
      </w:r>
      <w:r>
        <w:rPr>
          <w:rFonts w:ascii="Century Schoolbook" w:hAnsi="Century Schoolbook"/>
        </w:rPr>
        <w:t>ble to those clients</w:t>
      </w:r>
      <w:r w:rsidRPr="00573FA5">
        <w:rPr>
          <w:rFonts w:ascii="Century Schoolbook" w:hAnsi="Century Schoolbook"/>
        </w:rPr>
        <w:t xml:space="preserve">. </w:t>
      </w:r>
    </w:p>
    <w:p w:rsidR="00610156" w:rsidRPr="00573FA5" w:rsidRDefault="00610156" w:rsidP="00610156">
      <w:pPr>
        <w:pStyle w:val="BodyText"/>
        <w:ind w:firstLine="720"/>
        <w:contextualSpacing/>
        <w:rPr>
          <w:rFonts w:ascii="Century Schoolbook" w:hAnsi="Century Schoolbook"/>
        </w:rPr>
      </w:pPr>
    </w:p>
    <w:p w:rsidR="00610156" w:rsidRPr="00573FA5" w:rsidRDefault="00CA3C6F" w:rsidP="00610156">
      <w:pPr>
        <w:pStyle w:val="BodyText"/>
        <w:ind w:firstLine="720"/>
        <w:contextualSpacing/>
        <w:rPr>
          <w:rFonts w:ascii="Century Schoolbook" w:hAnsi="Century Schoolbook"/>
        </w:rPr>
      </w:pPr>
      <w:r>
        <w:rPr>
          <w:rFonts w:ascii="Century Schoolbook" w:hAnsi="Century Schoolbook"/>
        </w:rPr>
        <w:t>T</w:t>
      </w:r>
      <w:r w:rsidRPr="00573FA5">
        <w:rPr>
          <w:rFonts w:ascii="Century Schoolbook" w:hAnsi="Century Schoolbook"/>
        </w:rPr>
        <w:t xml:space="preserve">he roles and duties of appointed leadership </w:t>
      </w:r>
      <w:r>
        <w:rPr>
          <w:rFonts w:ascii="Century Schoolbook" w:hAnsi="Century Schoolbook"/>
        </w:rPr>
        <w:t xml:space="preserve">may also be specified in the initial </w:t>
      </w:r>
      <w:r w:rsidRPr="00573FA5">
        <w:rPr>
          <w:rFonts w:ascii="Century Schoolbook" w:hAnsi="Century Schoolbook"/>
        </w:rPr>
        <w:t xml:space="preserve">solicitation of applications and </w:t>
      </w:r>
      <w:r>
        <w:rPr>
          <w:rFonts w:ascii="Century Schoolbook" w:hAnsi="Century Schoolbook"/>
        </w:rPr>
        <w:t xml:space="preserve">in the resultant </w:t>
      </w:r>
      <w:r w:rsidRPr="00573FA5">
        <w:rPr>
          <w:rFonts w:ascii="Century Schoolbook" w:hAnsi="Century Schoolbook"/>
        </w:rPr>
        <w:t xml:space="preserve">appointment orders. Lawyers seeking leadership appointments should </w:t>
      </w:r>
      <w:r>
        <w:rPr>
          <w:rFonts w:ascii="Century Schoolbook" w:hAnsi="Century Schoolbook"/>
        </w:rPr>
        <w:t xml:space="preserve">be required to </w:t>
      </w:r>
      <w:r w:rsidRPr="00573FA5">
        <w:rPr>
          <w:rFonts w:ascii="Century Schoolbook" w:hAnsi="Century Schoolbook"/>
        </w:rPr>
        <w:t xml:space="preserve">provide the court and </w:t>
      </w:r>
      <w:r>
        <w:rPr>
          <w:rFonts w:ascii="Century Schoolbook" w:hAnsi="Century Schoolbook"/>
        </w:rPr>
        <w:t xml:space="preserve">other </w:t>
      </w:r>
      <w:r w:rsidRPr="00573FA5">
        <w:rPr>
          <w:rFonts w:ascii="Century Schoolbook" w:hAnsi="Century Schoolbook"/>
        </w:rPr>
        <w:t xml:space="preserve">counsel with </w:t>
      </w:r>
      <w:r>
        <w:rPr>
          <w:rFonts w:ascii="Century Schoolbook" w:hAnsi="Century Schoolbook"/>
        </w:rPr>
        <w:t xml:space="preserve">specifics on </w:t>
      </w:r>
      <w:r w:rsidRPr="00573FA5">
        <w:rPr>
          <w:rFonts w:ascii="Century Schoolbook" w:hAnsi="Century Schoolbook"/>
        </w:rPr>
        <w:t xml:space="preserve">how they </w:t>
      </w:r>
      <w:r>
        <w:rPr>
          <w:rFonts w:ascii="Century Schoolbook" w:hAnsi="Century Schoolbook"/>
        </w:rPr>
        <w:t xml:space="preserve">will </w:t>
      </w:r>
      <w:r w:rsidRPr="00573FA5">
        <w:rPr>
          <w:rFonts w:ascii="Century Schoolbook" w:hAnsi="Century Schoolbook"/>
        </w:rPr>
        <w:t xml:space="preserve">fulfill their obligations to work with others during the litigation </w:t>
      </w:r>
      <w:r>
        <w:rPr>
          <w:rFonts w:ascii="Century Schoolbook" w:hAnsi="Century Schoolbook"/>
        </w:rPr>
        <w:t xml:space="preserve">and how they will </w:t>
      </w:r>
      <w:r w:rsidRPr="00573FA5">
        <w:rPr>
          <w:rFonts w:ascii="Century Schoolbook" w:hAnsi="Century Schoolbook"/>
        </w:rPr>
        <w:t>provid</w:t>
      </w:r>
      <w:r>
        <w:rPr>
          <w:rFonts w:ascii="Century Schoolbook" w:hAnsi="Century Schoolbook"/>
        </w:rPr>
        <w:t>e</w:t>
      </w:r>
      <w:r w:rsidRPr="00573FA5">
        <w:rPr>
          <w:rFonts w:ascii="Century Schoolbook" w:hAnsi="Century Schoolbook"/>
        </w:rPr>
        <w:t xml:space="preserve"> timely and adequate communication and support to non-leadership counsel. </w:t>
      </w:r>
    </w:p>
    <w:p w:rsidR="00610156" w:rsidRPr="00573FA5" w:rsidRDefault="00610156" w:rsidP="00610156">
      <w:pPr>
        <w:pStyle w:val="BodyText"/>
        <w:ind w:firstLine="720"/>
        <w:contextualSpacing/>
        <w:rPr>
          <w:rFonts w:ascii="Century Schoolbook" w:hAnsi="Century Schoolbook"/>
        </w:rPr>
      </w:pPr>
    </w:p>
    <w:p w:rsidR="00610156" w:rsidRPr="00573FA5" w:rsidRDefault="00CA3C6F" w:rsidP="00610156">
      <w:pPr>
        <w:pStyle w:val="BodyText"/>
        <w:ind w:left="720" w:right="720"/>
        <w:contextualSpacing/>
        <w:jc w:val="both"/>
        <w:rPr>
          <w:rFonts w:ascii="Century Schoolbook" w:hAnsi="Century Schoolbook"/>
          <w:i/>
        </w:rPr>
      </w:pPr>
      <w:r w:rsidRPr="00573FA5">
        <w:rPr>
          <w:rFonts w:ascii="Century Schoolbook" w:hAnsi="Century Schoolbook"/>
          <w:smallCaps/>
        </w:rPr>
        <w:t>Best Practice 11B</w:t>
      </w:r>
      <w:r w:rsidRPr="00573FA5">
        <w:rPr>
          <w:rFonts w:ascii="Century Schoolbook" w:hAnsi="Century Schoolbook"/>
        </w:rPr>
        <w:t xml:space="preserve">: A transferee judge should be alert throughout the MDL proceedings </w:t>
      </w:r>
      <w:r>
        <w:rPr>
          <w:rFonts w:ascii="Century Schoolbook" w:hAnsi="Century Schoolbook"/>
        </w:rPr>
        <w:t>for</w:t>
      </w:r>
      <w:r w:rsidRPr="00573FA5">
        <w:rPr>
          <w:rFonts w:ascii="Century Schoolbook" w:hAnsi="Century Schoolbook"/>
        </w:rPr>
        <w:t xml:space="preserve"> potential and emerging disagreements and conflicts between lead and non-lead counsel.</w:t>
      </w:r>
    </w:p>
    <w:p w:rsidR="00610156" w:rsidRPr="00573FA5" w:rsidRDefault="00610156" w:rsidP="00610156">
      <w:pPr>
        <w:pStyle w:val="BodyText"/>
        <w:ind w:left="720" w:right="720"/>
        <w:contextualSpacing/>
        <w:rPr>
          <w:rFonts w:ascii="Century Schoolbook" w:hAnsi="Century Schoolbook"/>
          <w:i/>
        </w:rPr>
      </w:pPr>
    </w:p>
    <w:p w:rsidR="00610156" w:rsidRDefault="00CA3C6F" w:rsidP="00610156">
      <w:pPr>
        <w:pStyle w:val="BodyText"/>
        <w:ind w:firstLine="720"/>
        <w:contextualSpacing/>
        <w:rPr>
          <w:rFonts w:ascii="Century Schoolbook" w:hAnsi="Century Schoolbook"/>
        </w:rPr>
      </w:pPr>
      <w:r w:rsidRPr="00573FA5">
        <w:rPr>
          <w:rFonts w:ascii="Century Schoolbook" w:hAnsi="Century Schoolbook"/>
        </w:rPr>
        <w:t xml:space="preserve"> Many problems arising from disagreements between lead and non-leadership counsel can be </w:t>
      </w:r>
      <w:r>
        <w:rPr>
          <w:rFonts w:ascii="Century Schoolbook" w:hAnsi="Century Schoolbook"/>
        </w:rPr>
        <w:t xml:space="preserve">avoided, or at least </w:t>
      </w:r>
      <w:r w:rsidRPr="00573FA5">
        <w:rPr>
          <w:rFonts w:ascii="Century Schoolbook" w:hAnsi="Century Schoolbook"/>
        </w:rPr>
        <w:t>addressed, by active case manage</w:t>
      </w:r>
      <w:r>
        <w:rPr>
          <w:rFonts w:ascii="Century Schoolbook" w:hAnsi="Century Schoolbook"/>
        </w:rPr>
        <w:t>ment</w:t>
      </w:r>
      <w:r w:rsidRPr="00573FA5">
        <w:rPr>
          <w:rFonts w:ascii="Century Schoolbook" w:hAnsi="Century Schoolbook"/>
        </w:rPr>
        <w:t xml:space="preserve">. </w:t>
      </w:r>
      <w:r>
        <w:rPr>
          <w:rFonts w:ascii="Century Schoolbook" w:hAnsi="Century Schoolbook"/>
        </w:rPr>
        <w:t>R</w:t>
      </w:r>
      <w:r w:rsidRPr="00573FA5">
        <w:rPr>
          <w:rFonts w:ascii="Century Schoolbook" w:hAnsi="Century Schoolbook"/>
        </w:rPr>
        <w:t xml:space="preserve">egularly scheduled status conferences, </w:t>
      </w:r>
      <w:r>
        <w:rPr>
          <w:rFonts w:ascii="Century Schoolbook" w:hAnsi="Century Schoolbook"/>
        </w:rPr>
        <w:t xml:space="preserve">frequent </w:t>
      </w:r>
      <w:r w:rsidRPr="00573FA5">
        <w:rPr>
          <w:rFonts w:ascii="Century Schoolbook" w:hAnsi="Century Schoolbook"/>
        </w:rPr>
        <w:t>confer</w:t>
      </w:r>
      <w:r>
        <w:rPr>
          <w:rFonts w:ascii="Century Schoolbook" w:hAnsi="Century Schoolbook"/>
        </w:rPr>
        <w:t>ence</w:t>
      </w:r>
      <w:r w:rsidRPr="00573FA5">
        <w:rPr>
          <w:rFonts w:ascii="Century Schoolbook" w:hAnsi="Century Schoolbook"/>
        </w:rPr>
        <w:t xml:space="preserve">s with liaison counsel, and </w:t>
      </w:r>
      <w:r>
        <w:rPr>
          <w:rFonts w:ascii="Century Schoolbook" w:hAnsi="Century Schoolbook"/>
        </w:rPr>
        <w:t xml:space="preserve">attention to </w:t>
      </w:r>
      <w:r w:rsidRPr="00573FA5">
        <w:rPr>
          <w:rFonts w:ascii="Century Schoolbook" w:hAnsi="Century Schoolbook"/>
        </w:rPr>
        <w:t xml:space="preserve">status reports can </w:t>
      </w:r>
      <w:r>
        <w:rPr>
          <w:rFonts w:ascii="Century Schoolbook" w:hAnsi="Century Schoolbook"/>
        </w:rPr>
        <w:t xml:space="preserve">timely </w:t>
      </w:r>
      <w:r w:rsidRPr="00573FA5">
        <w:rPr>
          <w:rFonts w:ascii="Century Schoolbook" w:hAnsi="Century Schoolbook"/>
        </w:rPr>
        <w:t xml:space="preserve">identify </w:t>
      </w:r>
      <w:r>
        <w:rPr>
          <w:rFonts w:ascii="Century Schoolbook" w:hAnsi="Century Schoolbook"/>
        </w:rPr>
        <w:t xml:space="preserve">most </w:t>
      </w:r>
      <w:r w:rsidRPr="00573FA5">
        <w:rPr>
          <w:rFonts w:ascii="Century Schoolbook" w:hAnsi="Century Schoolbook"/>
        </w:rPr>
        <w:t xml:space="preserve">potential conflicts and disagreements between lead counsel and non-leadership counsel. </w:t>
      </w:r>
    </w:p>
    <w:p w:rsidR="00404174" w:rsidRPr="00573FA5" w:rsidRDefault="00404174" w:rsidP="00610156">
      <w:pPr>
        <w:pStyle w:val="BodyText"/>
        <w:ind w:firstLine="720"/>
        <w:contextualSpacing/>
        <w:rPr>
          <w:rFonts w:ascii="Century Schoolbook" w:hAnsi="Century Schoolbook"/>
        </w:rPr>
      </w:pPr>
    </w:p>
    <w:p w:rsidR="00610156" w:rsidRPr="00573FA5" w:rsidRDefault="00CA3C6F" w:rsidP="00610156">
      <w:pPr>
        <w:pStyle w:val="BodyText"/>
        <w:ind w:firstLine="720"/>
        <w:contextualSpacing/>
        <w:rPr>
          <w:rFonts w:ascii="Century Schoolbook" w:hAnsi="Century Schoolbook"/>
        </w:rPr>
      </w:pPr>
      <w:r w:rsidRPr="00573FA5">
        <w:rPr>
          <w:rFonts w:ascii="Century Schoolbook" w:hAnsi="Century Schoolbook"/>
        </w:rPr>
        <w:t xml:space="preserve">Consistent with </w:t>
      </w:r>
      <w:r w:rsidRPr="00573FA5">
        <w:rPr>
          <w:rFonts w:ascii="Century Schoolbook" w:hAnsi="Century Schoolbook"/>
          <w:smallCaps/>
        </w:rPr>
        <w:t>Best Practice 1B(</w:t>
      </w:r>
      <w:r w:rsidRPr="00573FA5">
        <w:rPr>
          <w:rFonts w:ascii="Century Schoolbook" w:hAnsi="Century Schoolbook"/>
        </w:rPr>
        <w:t xml:space="preserve">i), the court should schedule regular status conferences. At the start of the MDL, or if the court anticipates conflicts between lead and non-leadership counsel, </w:t>
      </w:r>
      <w:r>
        <w:rPr>
          <w:rFonts w:ascii="Century Schoolbook" w:hAnsi="Century Schoolbook"/>
        </w:rPr>
        <w:t xml:space="preserve">a monthly </w:t>
      </w:r>
      <w:r w:rsidRPr="00573FA5">
        <w:rPr>
          <w:rFonts w:ascii="Century Schoolbook" w:hAnsi="Century Schoolbook"/>
        </w:rPr>
        <w:t>conference</w:t>
      </w:r>
      <w:r>
        <w:rPr>
          <w:rFonts w:ascii="Century Schoolbook" w:hAnsi="Century Schoolbook"/>
        </w:rPr>
        <w:t xml:space="preserve"> schedule</w:t>
      </w:r>
      <w:r w:rsidRPr="00573FA5">
        <w:rPr>
          <w:rFonts w:ascii="Century Schoolbook" w:hAnsi="Century Schoolbook"/>
        </w:rPr>
        <w:t xml:space="preserve"> </w:t>
      </w:r>
      <w:r>
        <w:rPr>
          <w:rFonts w:ascii="Century Schoolbook" w:hAnsi="Century Schoolbook"/>
        </w:rPr>
        <w:t>is advisable</w:t>
      </w:r>
      <w:r w:rsidRPr="00573FA5">
        <w:rPr>
          <w:rFonts w:ascii="Century Schoolbook" w:hAnsi="Century Schoolbook"/>
        </w:rPr>
        <w:t xml:space="preserve">. Key rulings and discussion should be on the record, and </w:t>
      </w:r>
      <w:r>
        <w:rPr>
          <w:rFonts w:ascii="Century Schoolbook" w:hAnsi="Century Schoolbook"/>
        </w:rPr>
        <w:t xml:space="preserve">conference </w:t>
      </w:r>
      <w:r w:rsidRPr="00573FA5">
        <w:rPr>
          <w:rFonts w:ascii="Century Schoolbook" w:hAnsi="Century Schoolbook"/>
        </w:rPr>
        <w:t xml:space="preserve">transcripts should be </w:t>
      </w:r>
      <w:r>
        <w:rPr>
          <w:rFonts w:ascii="Century Schoolbook" w:hAnsi="Century Schoolbook"/>
        </w:rPr>
        <w:t xml:space="preserve">posted </w:t>
      </w:r>
      <w:r w:rsidRPr="00573FA5">
        <w:rPr>
          <w:rFonts w:ascii="Century Schoolbook" w:hAnsi="Century Schoolbook"/>
        </w:rPr>
        <w:t>on the court</w:t>
      </w:r>
      <w:r>
        <w:rPr>
          <w:rFonts w:ascii="Century Schoolbook" w:hAnsi="Century Schoolbook"/>
        </w:rPr>
        <w:t>’s</w:t>
      </w:r>
      <w:r w:rsidRPr="00573FA5">
        <w:rPr>
          <w:rFonts w:ascii="Century Schoolbook" w:hAnsi="Century Schoolbook"/>
        </w:rPr>
        <w:t xml:space="preserve"> website or </w:t>
      </w:r>
      <w:r>
        <w:rPr>
          <w:rFonts w:ascii="Century Schoolbook" w:hAnsi="Century Schoolbook"/>
        </w:rPr>
        <w:t xml:space="preserve">made available </w:t>
      </w:r>
      <w:r w:rsidRPr="00573FA5">
        <w:rPr>
          <w:rFonts w:ascii="Century Schoolbook" w:hAnsi="Century Schoolbook"/>
        </w:rPr>
        <w:t xml:space="preserve">by plaintiffs’ counsel to non-leadership counsel. </w:t>
      </w:r>
    </w:p>
    <w:p w:rsidR="00610156" w:rsidRPr="00573FA5" w:rsidRDefault="00610156" w:rsidP="00610156">
      <w:pPr>
        <w:ind w:firstLine="720"/>
        <w:contextualSpacing/>
        <w:rPr>
          <w:rFonts w:ascii="Century Schoolbook" w:hAnsi="Century Schoolbook"/>
          <w:sz w:val="24"/>
          <w:szCs w:val="24"/>
        </w:rPr>
      </w:pPr>
    </w:p>
    <w:p w:rsidR="00610156" w:rsidRPr="00573FA5" w:rsidRDefault="00CA3C6F" w:rsidP="00610156">
      <w:pPr>
        <w:ind w:firstLine="720"/>
        <w:contextualSpacing/>
        <w:rPr>
          <w:rFonts w:ascii="Century Schoolbook" w:hAnsi="Century Schoolbook"/>
          <w:sz w:val="24"/>
          <w:szCs w:val="24"/>
        </w:rPr>
      </w:pPr>
      <w:r w:rsidRPr="00573FA5">
        <w:rPr>
          <w:rFonts w:ascii="Century Schoolbook" w:hAnsi="Century Schoolbook"/>
          <w:sz w:val="24"/>
          <w:szCs w:val="24"/>
        </w:rPr>
        <w:t xml:space="preserve">The court should require leadership counsel to prepare and distribute detailed status reports to all </w:t>
      </w:r>
      <w:r w:rsidRPr="00573FA5">
        <w:rPr>
          <w:rFonts w:ascii="Century Schoolbook" w:hAnsi="Century Schoolbook"/>
          <w:color w:val="000000"/>
          <w:sz w:val="24"/>
          <w:szCs w:val="24"/>
        </w:rPr>
        <w:t xml:space="preserve">non-leadership </w:t>
      </w:r>
      <w:r>
        <w:rPr>
          <w:rFonts w:ascii="Century Schoolbook" w:hAnsi="Century Schoolbook"/>
          <w:sz w:val="24"/>
          <w:szCs w:val="24"/>
        </w:rPr>
        <w:t xml:space="preserve">counsel </w:t>
      </w:r>
      <w:r w:rsidRPr="00573FA5">
        <w:rPr>
          <w:rFonts w:ascii="Century Schoolbook" w:hAnsi="Century Schoolbook"/>
          <w:sz w:val="24"/>
          <w:szCs w:val="24"/>
        </w:rPr>
        <w:t xml:space="preserve">in advance of </w:t>
      </w:r>
      <w:r>
        <w:rPr>
          <w:rFonts w:ascii="Century Schoolbook" w:hAnsi="Century Schoolbook"/>
          <w:sz w:val="24"/>
          <w:szCs w:val="24"/>
        </w:rPr>
        <w:t>each</w:t>
      </w:r>
      <w:r w:rsidRPr="00573FA5">
        <w:rPr>
          <w:rFonts w:ascii="Century Schoolbook" w:hAnsi="Century Schoolbook"/>
          <w:sz w:val="24"/>
          <w:szCs w:val="24"/>
        </w:rPr>
        <w:t xml:space="preserve"> conference, to confer with the court in preparing an agenda, and to distribute detailed reports to </w:t>
      </w:r>
      <w:r w:rsidRPr="00573FA5">
        <w:rPr>
          <w:rFonts w:ascii="Century Schoolbook" w:hAnsi="Century Schoolbook"/>
          <w:sz w:val="24"/>
          <w:szCs w:val="24"/>
        </w:rPr>
        <w:lastRenderedPageBreak/>
        <w:t xml:space="preserve">all </w:t>
      </w:r>
      <w:r w:rsidRPr="00573FA5">
        <w:rPr>
          <w:rFonts w:ascii="Century Schoolbook" w:hAnsi="Century Schoolbook"/>
          <w:color w:val="000000"/>
          <w:sz w:val="24"/>
          <w:szCs w:val="24"/>
        </w:rPr>
        <w:t xml:space="preserve">non-leadership </w:t>
      </w:r>
      <w:r>
        <w:rPr>
          <w:rFonts w:ascii="Century Schoolbook" w:hAnsi="Century Schoolbook"/>
          <w:sz w:val="24"/>
          <w:szCs w:val="24"/>
        </w:rPr>
        <w:t xml:space="preserve">counsel </w:t>
      </w:r>
      <w:r w:rsidRPr="00573FA5">
        <w:rPr>
          <w:rFonts w:ascii="Century Schoolbook" w:hAnsi="Century Schoolbook"/>
          <w:sz w:val="24"/>
          <w:szCs w:val="24"/>
        </w:rPr>
        <w:t xml:space="preserve">afterward. </w:t>
      </w:r>
      <w:r>
        <w:rPr>
          <w:rFonts w:ascii="Century Schoolbook" w:hAnsi="Century Schoolbook"/>
          <w:sz w:val="24"/>
          <w:szCs w:val="24"/>
        </w:rPr>
        <w:t xml:space="preserve">Such </w:t>
      </w:r>
      <w:r w:rsidRPr="00573FA5">
        <w:rPr>
          <w:rFonts w:ascii="Century Schoolbook" w:hAnsi="Century Schoolbook"/>
          <w:sz w:val="24"/>
          <w:szCs w:val="24"/>
        </w:rPr>
        <w:t xml:space="preserve">documents </w:t>
      </w:r>
      <w:r>
        <w:rPr>
          <w:rFonts w:ascii="Century Schoolbook" w:hAnsi="Century Schoolbook"/>
          <w:sz w:val="24"/>
          <w:szCs w:val="24"/>
        </w:rPr>
        <w:t xml:space="preserve">should </w:t>
      </w:r>
      <w:r w:rsidRPr="00573FA5">
        <w:rPr>
          <w:rFonts w:ascii="Century Schoolbook" w:hAnsi="Century Schoolbook"/>
          <w:sz w:val="24"/>
          <w:szCs w:val="24"/>
        </w:rPr>
        <w:t>keep all participants in the MDL proceeding well-informed</w:t>
      </w:r>
      <w:r>
        <w:rPr>
          <w:rFonts w:ascii="Century Schoolbook" w:hAnsi="Century Schoolbook"/>
          <w:sz w:val="24"/>
          <w:szCs w:val="24"/>
        </w:rPr>
        <w:t>,</w:t>
      </w:r>
      <w:r w:rsidRPr="00573FA5">
        <w:rPr>
          <w:rFonts w:ascii="Century Schoolbook" w:hAnsi="Century Schoolbook"/>
          <w:sz w:val="24"/>
          <w:szCs w:val="24"/>
        </w:rPr>
        <w:t xml:space="preserve"> consistent with </w:t>
      </w:r>
      <w:r w:rsidRPr="00573FA5">
        <w:rPr>
          <w:rFonts w:ascii="Century Schoolbook" w:hAnsi="Century Schoolbook"/>
          <w:smallCaps/>
          <w:sz w:val="24"/>
          <w:szCs w:val="24"/>
        </w:rPr>
        <w:t>Best Practice 4I</w:t>
      </w:r>
      <w:r w:rsidRPr="00573FA5">
        <w:rPr>
          <w:rFonts w:ascii="Century Schoolbook" w:hAnsi="Century Schoolbook"/>
          <w:sz w:val="24"/>
          <w:szCs w:val="24"/>
        </w:rPr>
        <w:t>. The court and lead counsel should also consider regular report</w:t>
      </w:r>
      <w:r>
        <w:rPr>
          <w:rFonts w:ascii="Century Schoolbook" w:hAnsi="Century Schoolbook"/>
          <w:sz w:val="24"/>
          <w:szCs w:val="24"/>
        </w:rPr>
        <w:t>s</w:t>
      </w:r>
      <w:r w:rsidRPr="00573FA5">
        <w:rPr>
          <w:rFonts w:ascii="Century Schoolbook" w:hAnsi="Century Schoolbook"/>
          <w:sz w:val="24"/>
          <w:szCs w:val="24"/>
        </w:rPr>
        <w:t xml:space="preserve"> to non-leadership counsel </w:t>
      </w:r>
      <w:r>
        <w:rPr>
          <w:rFonts w:ascii="Century Schoolbook" w:hAnsi="Century Schoolbook"/>
          <w:sz w:val="24"/>
          <w:szCs w:val="24"/>
        </w:rPr>
        <w:t xml:space="preserve">about </w:t>
      </w:r>
      <w:r w:rsidRPr="00573FA5">
        <w:rPr>
          <w:rFonts w:ascii="Century Schoolbook" w:hAnsi="Century Schoolbook"/>
          <w:sz w:val="24"/>
          <w:szCs w:val="24"/>
        </w:rPr>
        <w:t xml:space="preserve">key expert opinions on causation, </w:t>
      </w:r>
      <w:r>
        <w:rPr>
          <w:rFonts w:ascii="Century Schoolbook" w:hAnsi="Century Schoolbook"/>
          <w:sz w:val="24"/>
          <w:szCs w:val="24"/>
        </w:rPr>
        <w:t xml:space="preserve">periodically updating lists of all counsel’s </w:t>
      </w:r>
      <w:r w:rsidRPr="00573FA5">
        <w:rPr>
          <w:rFonts w:ascii="Century Schoolbook" w:hAnsi="Century Schoolbook"/>
          <w:sz w:val="24"/>
          <w:szCs w:val="24"/>
        </w:rPr>
        <w:t xml:space="preserve">inventory, and providing </w:t>
      </w:r>
      <w:r>
        <w:rPr>
          <w:rFonts w:ascii="Century Schoolbook" w:hAnsi="Century Schoolbook"/>
          <w:sz w:val="24"/>
          <w:szCs w:val="24"/>
        </w:rPr>
        <w:t xml:space="preserve">on the status of </w:t>
      </w:r>
      <w:r w:rsidRPr="00573FA5">
        <w:rPr>
          <w:rFonts w:ascii="Century Schoolbook" w:hAnsi="Century Schoolbook"/>
          <w:sz w:val="24"/>
          <w:szCs w:val="24"/>
        </w:rPr>
        <w:t xml:space="preserve">company witness depositions and document production. Lead counsel </w:t>
      </w:r>
      <w:r>
        <w:rPr>
          <w:rFonts w:ascii="Century Schoolbook" w:hAnsi="Century Schoolbook"/>
          <w:sz w:val="24"/>
          <w:szCs w:val="24"/>
        </w:rPr>
        <w:t xml:space="preserve">should also provide </w:t>
      </w:r>
      <w:r w:rsidRPr="00573FA5">
        <w:rPr>
          <w:rFonts w:ascii="Century Schoolbook" w:hAnsi="Century Schoolbook"/>
          <w:i/>
          <w:sz w:val="24"/>
          <w:szCs w:val="24"/>
        </w:rPr>
        <w:t>pro se</w:t>
      </w:r>
      <w:r w:rsidRPr="00573FA5">
        <w:rPr>
          <w:rFonts w:ascii="Century Schoolbook" w:hAnsi="Century Schoolbook"/>
          <w:sz w:val="24"/>
          <w:szCs w:val="24"/>
        </w:rPr>
        <w:t xml:space="preserve"> plaintiffs </w:t>
      </w:r>
      <w:r>
        <w:rPr>
          <w:rFonts w:ascii="Century Schoolbook" w:hAnsi="Century Schoolbook"/>
          <w:sz w:val="24"/>
          <w:szCs w:val="24"/>
        </w:rPr>
        <w:t xml:space="preserve">with </w:t>
      </w:r>
      <w:r w:rsidRPr="00573FA5">
        <w:rPr>
          <w:rFonts w:ascii="Century Schoolbook" w:hAnsi="Century Schoolbook"/>
          <w:sz w:val="24"/>
          <w:szCs w:val="24"/>
        </w:rPr>
        <w:t xml:space="preserve">a point of contact on the Plaintiff Steering Committee to whom they can direct questions. </w:t>
      </w:r>
    </w:p>
    <w:p w:rsidR="00610156" w:rsidRPr="00573FA5" w:rsidRDefault="00610156" w:rsidP="00610156">
      <w:pPr>
        <w:ind w:firstLine="720"/>
        <w:contextualSpacing/>
        <w:rPr>
          <w:rFonts w:ascii="Century Schoolbook" w:hAnsi="Century Schoolbook"/>
          <w:sz w:val="24"/>
          <w:szCs w:val="24"/>
        </w:rPr>
      </w:pPr>
    </w:p>
    <w:p w:rsidR="00610156" w:rsidRPr="00573FA5" w:rsidRDefault="00CA3C6F" w:rsidP="00610156">
      <w:pPr>
        <w:pStyle w:val="BodyText"/>
        <w:ind w:firstLine="720"/>
        <w:contextualSpacing/>
        <w:rPr>
          <w:rFonts w:ascii="Century Schoolbook" w:hAnsi="Century Schoolbook"/>
        </w:rPr>
      </w:pPr>
      <w:r>
        <w:rPr>
          <w:rFonts w:ascii="Century Schoolbook" w:hAnsi="Century Schoolbook"/>
        </w:rPr>
        <w:t>Many MDLs have benefitted from t</w:t>
      </w:r>
      <w:r w:rsidRPr="00573FA5">
        <w:rPr>
          <w:rFonts w:ascii="Century Schoolbook" w:hAnsi="Century Schoolbook"/>
        </w:rPr>
        <w:t xml:space="preserve">he court creating an official website for the proceeding on which these documents (as well as status conference reports and significant orders) can be viewed consistent with </w:t>
      </w:r>
      <w:r w:rsidRPr="00573FA5">
        <w:rPr>
          <w:rFonts w:ascii="Century Schoolbook" w:hAnsi="Century Schoolbook"/>
          <w:smallCaps/>
        </w:rPr>
        <w:t>Best Practice 12F</w:t>
      </w:r>
      <w:r w:rsidRPr="00573FA5">
        <w:rPr>
          <w:rFonts w:ascii="Century Schoolbook" w:hAnsi="Century Schoolbook"/>
        </w:rPr>
        <w:t xml:space="preserve">. Similarly, lead counsel should consider developing a file-sharing option for non-leadership counsel to obtain MDL materials, key orders, and transcripts. Timely and adequate information about the MDL proceedings provides </w:t>
      </w:r>
      <w:r>
        <w:rPr>
          <w:rFonts w:ascii="Century Schoolbook" w:hAnsi="Century Schoolbook"/>
        </w:rPr>
        <w:t xml:space="preserve">the means for </w:t>
      </w:r>
      <w:r w:rsidRPr="00573FA5">
        <w:rPr>
          <w:rFonts w:ascii="Century Schoolbook" w:hAnsi="Century Schoolbook"/>
        </w:rPr>
        <w:t>non-leadership counsel</w:t>
      </w:r>
      <w:r>
        <w:rPr>
          <w:rFonts w:ascii="Century Schoolbook" w:hAnsi="Century Schoolbook"/>
        </w:rPr>
        <w:t xml:space="preserve"> to fulfil their </w:t>
      </w:r>
      <w:r w:rsidRPr="00573FA5">
        <w:rPr>
          <w:rFonts w:ascii="Century Schoolbook" w:hAnsi="Century Schoolbook"/>
        </w:rPr>
        <w:t xml:space="preserve">responsibilities and obligations to their respective clients. </w:t>
      </w:r>
    </w:p>
    <w:p w:rsidR="00610156" w:rsidRPr="00573FA5" w:rsidRDefault="00610156" w:rsidP="00610156">
      <w:pPr>
        <w:pStyle w:val="BodyText"/>
        <w:ind w:firstLine="720"/>
        <w:contextualSpacing/>
        <w:rPr>
          <w:rFonts w:ascii="Century Schoolbook" w:hAnsi="Century Schoolbook"/>
        </w:rPr>
      </w:pPr>
    </w:p>
    <w:p w:rsidR="00610156" w:rsidRPr="00573FA5" w:rsidRDefault="00CA3C6F" w:rsidP="00610156">
      <w:pPr>
        <w:pStyle w:val="BodyText"/>
        <w:ind w:left="720" w:right="720"/>
        <w:contextualSpacing/>
        <w:jc w:val="both"/>
        <w:rPr>
          <w:rFonts w:ascii="Century Schoolbook" w:hAnsi="Century Schoolbook"/>
          <w:i/>
        </w:rPr>
      </w:pPr>
      <w:r w:rsidRPr="00573FA5">
        <w:rPr>
          <w:rFonts w:ascii="Century Schoolbook" w:hAnsi="Century Schoolbook"/>
          <w:smallCaps/>
        </w:rPr>
        <w:t>Best Practice 11C</w:t>
      </w:r>
      <w:r w:rsidRPr="00573FA5">
        <w:rPr>
          <w:rFonts w:ascii="Century Schoolbook" w:hAnsi="Century Schoolbook"/>
        </w:rPr>
        <w:t>: The court should consider a reappointment process for lead counsel as a means of discovering serious conflicts, if any, between lead and non-leadership counsel.</w:t>
      </w:r>
    </w:p>
    <w:p w:rsidR="00610156" w:rsidRPr="00573FA5" w:rsidRDefault="00610156" w:rsidP="00610156">
      <w:pPr>
        <w:pStyle w:val="BodyText"/>
        <w:ind w:left="720" w:right="720"/>
        <w:contextualSpacing/>
        <w:rPr>
          <w:rFonts w:ascii="Century Schoolbook" w:hAnsi="Century Schoolbook"/>
          <w:i/>
        </w:rPr>
      </w:pPr>
    </w:p>
    <w:p w:rsidR="00610156" w:rsidRPr="00573FA5" w:rsidRDefault="00CA3C6F" w:rsidP="00610156">
      <w:pPr>
        <w:pStyle w:val="BodyText"/>
        <w:ind w:firstLine="720"/>
        <w:contextualSpacing/>
        <w:rPr>
          <w:rFonts w:ascii="Century Schoolbook" w:hAnsi="Century Schoolbook"/>
        </w:rPr>
      </w:pPr>
      <w:r w:rsidRPr="00573FA5">
        <w:rPr>
          <w:rFonts w:ascii="Century Schoolbook" w:hAnsi="Century Schoolbook"/>
        </w:rPr>
        <w:t xml:space="preserve">A formal reappointment process </w:t>
      </w:r>
      <w:r>
        <w:rPr>
          <w:rFonts w:ascii="Century Schoolbook" w:hAnsi="Century Schoolbook"/>
        </w:rPr>
        <w:t xml:space="preserve">at specified intervals, corresponding to logical points in the development of the MDL </w:t>
      </w:r>
      <w:r w:rsidRPr="00573FA5">
        <w:rPr>
          <w:rFonts w:ascii="Century Schoolbook" w:hAnsi="Century Schoolbook"/>
        </w:rPr>
        <w:t>can provide opportunit</w:t>
      </w:r>
      <w:r>
        <w:rPr>
          <w:rFonts w:ascii="Century Schoolbook" w:hAnsi="Century Schoolbook"/>
        </w:rPr>
        <w:t>ies</w:t>
      </w:r>
      <w:r w:rsidRPr="00573FA5">
        <w:rPr>
          <w:rFonts w:ascii="Century Schoolbook" w:hAnsi="Century Schoolbook"/>
        </w:rPr>
        <w:t xml:space="preserve"> for non-leadership lawyers to comment (positively as well as negatively) on the performance of leadership. </w:t>
      </w:r>
      <w:r>
        <w:rPr>
          <w:rFonts w:ascii="Century Schoolbook" w:hAnsi="Century Schoolbook"/>
        </w:rPr>
        <w:t xml:space="preserve">Regardless of outcome, </w:t>
      </w:r>
      <w:r w:rsidRPr="00573FA5">
        <w:rPr>
          <w:rFonts w:ascii="Century Schoolbook" w:hAnsi="Century Schoolbook"/>
        </w:rPr>
        <w:t xml:space="preserve">the reappointment process provides a good opportunity for the court and non-leadership </w:t>
      </w:r>
      <w:r>
        <w:rPr>
          <w:rFonts w:ascii="Century Schoolbook" w:hAnsi="Century Schoolbook"/>
        </w:rPr>
        <w:t>counsel</w:t>
      </w:r>
      <w:r w:rsidRPr="00573FA5">
        <w:rPr>
          <w:rFonts w:ascii="Century Schoolbook" w:hAnsi="Century Schoolbook"/>
        </w:rPr>
        <w:t xml:space="preserve"> to receive a formal report from lead counsel on how </w:t>
      </w:r>
      <w:r>
        <w:rPr>
          <w:rFonts w:ascii="Century Schoolbook" w:hAnsi="Century Schoolbook"/>
        </w:rPr>
        <w:t>leadership</w:t>
      </w:r>
      <w:r w:rsidRPr="00573FA5">
        <w:rPr>
          <w:rFonts w:ascii="Century Schoolbook" w:hAnsi="Century Schoolbook"/>
        </w:rPr>
        <w:t xml:space="preserve"> ha</w:t>
      </w:r>
      <w:r>
        <w:rPr>
          <w:rFonts w:ascii="Century Schoolbook" w:hAnsi="Century Schoolbook"/>
        </w:rPr>
        <w:t>s</w:t>
      </w:r>
      <w:r w:rsidRPr="00573FA5">
        <w:rPr>
          <w:rFonts w:ascii="Century Schoolbook" w:hAnsi="Century Schoolbook"/>
        </w:rPr>
        <w:t xml:space="preserve"> performed </w:t>
      </w:r>
      <w:r>
        <w:rPr>
          <w:rFonts w:ascii="Century Schoolbook" w:hAnsi="Century Schoolbook"/>
        </w:rPr>
        <w:t>its</w:t>
      </w:r>
      <w:r w:rsidRPr="00573FA5">
        <w:rPr>
          <w:rFonts w:ascii="Century Schoolbook" w:hAnsi="Century Schoolbook"/>
        </w:rPr>
        <w:t xml:space="preserve"> duties and for the court to address any concerns </w:t>
      </w:r>
      <w:r>
        <w:rPr>
          <w:rFonts w:ascii="Century Schoolbook" w:hAnsi="Century Schoolbook"/>
        </w:rPr>
        <w:t xml:space="preserve">raised by </w:t>
      </w:r>
      <w:r w:rsidRPr="00573FA5">
        <w:rPr>
          <w:rFonts w:ascii="Century Schoolbook" w:hAnsi="Century Schoolbook"/>
        </w:rPr>
        <w:t>comments receive</w:t>
      </w:r>
      <w:r>
        <w:rPr>
          <w:rFonts w:ascii="Century Schoolbook" w:hAnsi="Century Schoolbook"/>
        </w:rPr>
        <w:t>d</w:t>
      </w:r>
      <w:r w:rsidRPr="00573FA5">
        <w:rPr>
          <w:rFonts w:ascii="Century Schoolbook" w:hAnsi="Century Schoolbook"/>
        </w:rPr>
        <w:t xml:space="preserve"> from non-leadership counsel. The court can also reiterate its expectations for lead counsel, which sends an important message to all parties. </w:t>
      </w:r>
    </w:p>
    <w:p w:rsidR="00610156" w:rsidRPr="00573FA5" w:rsidRDefault="00610156" w:rsidP="00610156">
      <w:pPr>
        <w:pStyle w:val="BodyText"/>
        <w:ind w:firstLine="720"/>
        <w:contextualSpacing/>
        <w:rPr>
          <w:rFonts w:ascii="Century Schoolbook" w:hAnsi="Century Schoolbook"/>
        </w:rPr>
      </w:pPr>
    </w:p>
    <w:p w:rsidR="00610156" w:rsidRPr="00573FA5" w:rsidRDefault="00CA3C6F" w:rsidP="00610156">
      <w:pPr>
        <w:pStyle w:val="BodyText"/>
        <w:ind w:firstLine="720"/>
        <w:contextualSpacing/>
        <w:rPr>
          <w:rFonts w:ascii="Century Schoolbook" w:hAnsi="Century Schoolbook"/>
        </w:rPr>
      </w:pPr>
      <w:r w:rsidRPr="00573FA5">
        <w:rPr>
          <w:rFonts w:ascii="Century Schoolbook" w:hAnsi="Century Schoolbook"/>
        </w:rPr>
        <w:t>The court can use the reappointment process to facilitate airing of non-leadership counsel</w:t>
      </w:r>
      <w:r>
        <w:rPr>
          <w:rFonts w:ascii="Century Schoolbook" w:hAnsi="Century Schoolbook"/>
        </w:rPr>
        <w:t>’s</w:t>
      </w:r>
      <w:r w:rsidRPr="00573FA5">
        <w:rPr>
          <w:rFonts w:ascii="Century Schoolbook" w:hAnsi="Century Schoolbook"/>
        </w:rPr>
        <w:t xml:space="preserve"> grievances </w:t>
      </w:r>
      <w:r>
        <w:rPr>
          <w:rFonts w:ascii="Century Schoolbook" w:hAnsi="Century Schoolbook"/>
        </w:rPr>
        <w:t xml:space="preserve">(if any) </w:t>
      </w:r>
      <w:r w:rsidRPr="00573FA5">
        <w:rPr>
          <w:rFonts w:ascii="Century Schoolbook" w:hAnsi="Century Schoolbook"/>
        </w:rPr>
        <w:t>with lead counsel</w:t>
      </w:r>
      <w:r>
        <w:rPr>
          <w:rFonts w:ascii="Century Schoolbook" w:hAnsi="Century Schoolbook"/>
        </w:rPr>
        <w:t>.</w:t>
      </w:r>
      <w:r w:rsidRPr="00573FA5">
        <w:rPr>
          <w:rFonts w:ascii="Century Schoolbook" w:hAnsi="Century Schoolbook"/>
        </w:rPr>
        <w:t xml:space="preserve"> </w:t>
      </w:r>
      <w:r>
        <w:rPr>
          <w:rFonts w:ascii="Century Schoolbook" w:hAnsi="Century Schoolbook"/>
        </w:rPr>
        <w:t xml:space="preserve">Overcoming any </w:t>
      </w:r>
      <w:r w:rsidRPr="00573FA5">
        <w:rPr>
          <w:rFonts w:ascii="Century Schoolbook" w:hAnsi="Century Schoolbook"/>
        </w:rPr>
        <w:t xml:space="preserve"> reluctan</w:t>
      </w:r>
      <w:r>
        <w:rPr>
          <w:rFonts w:ascii="Century Schoolbook" w:hAnsi="Century Schoolbook"/>
        </w:rPr>
        <w:t>ce</w:t>
      </w:r>
      <w:r w:rsidRPr="00573FA5">
        <w:rPr>
          <w:rFonts w:ascii="Century Schoolbook" w:hAnsi="Century Schoolbook"/>
        </w:rPr>
        <w:t xml:space="preserve"> to criticize the management of the MDL. At the same time, the reappointment process </w:t>
      </w:r>
      <w:r>
        <w:rPr>
          <w:rFonts w:ascii="Century Schoolbook" w:hAnsi="Century Schoolbook"/>
        </w:rPr>
        <w:t xml:space="preserve">serves </w:t>
      </w:r>
      <w:r w:rsidRPr="00573FA5">
        <w:rPr>
          <w:rFonts w:ascii="Century Schoolbook" w:hAnsi="Century Schoolbook"/>
        </w:rPr>
        <w:t>as an opportunity to remind non-leadership counsel that their obligations to their clients may require them to raise issues that, they believe, may prejudice their clients’ interests.</w:t>
      </w:r>
    </w:p>
    <w:p w:rsidR="00610156" w:rsidRPr="00573FA5" w:rsidRDefault="00610156" w:rsidP="00610156">
      <w:pPr>
        <w:pStyle w:val="BodyText"/>
        <w:ind w:firstLine="720"/>
        <w:contextualSpacing/>
        <w:rPr>
          <w:rFonts w:ascii="Century Schoolbook" w:hAnsi="Century Schoolbook"/>
        </w:rPr>
      </w:pPr>
    </w:p>
    <w:p w:rsidR="00610156" w:rsidRPr="00573FA5" w:rsidRDefault="00CA3C6F" w:rsidP="00610156">
      <w:pPr>
        <w:pStyle w:val="BodyText"/>
        <w:ind w:firstLine="720"/>
        <w:contextualSpacing/>
        <w:rPr>
          <w:rFonts w:ascii="Century Schoolbook" w:hAnsi="Century Schoolbook"/>
        </w:rPr>
      </w:pPr>
      <w:r>
        <w:rPr>
          <w:rFonts w:ascii="Century Schoolbook" w:hAnsi="Century Schoolbook"/>
        </w:rPr>
        <w:t>T</w:t>
      </w:r>
      <w:r w:rsidRPr="00573FA5">
        <w:rPr>
          <w:rFonts w:ascii="Century Schoolbook" w:hAnsi="Century Schoolbook"/>
        </w:rPr>
        <w:t>he reappointment process</w:t>
      </w:r>
      <w:r>
        <w:rPr>
          <w:rFonts w:ascii="Century Schoolbook" w:hAnsi="Century Schoolbook"/>
        </w:rPr>
        <w:t xml:space="preserve"> should not occur so frequently as to impede leadership’s management of the litigation, but often enough to be meaningful</w:t>
      </w:r>
      <w:r w:rsidRPr="00573FA5">
        <w:rPr>
          <w:rFonts w:ascii="Century Schoolbook" w:hAnsi="Century Schoolbook"/>
        </w:rPr>
        <w:t xml:space="preserve">. </w:t>
      </w:r>
      <w:r>
        <w:rPr>
          <w:rFonts w:ascii="Century Schoolbook" w:hAnsi="Century Schoolbook"/>
        </w:rPr>
        <w:t xml:space="preserve">Under </w:t>
      </w:r>
      <w:r w:rsidRPr="00573FA5">
        <w:rPr>
          <w:rFonts w:ascii="Century Schoolbook" w:hAnsi="Century Schoolbook"/>
          <w:smallCaps/>
        </w:rPr>
        <w:t>Best Practices 3A(</w:t>
      </w:r>
      <w:r w:rsidRPr="00573FA5">
        <w:rPr>
          <w:rFonts w:ascii="Century Schoolbook" w:hAnsi="Century Schoolbook"/>
        </w:rPr>
        <w:t>iii</w:t>
      </w:r>
      <w:r w:rsidRPr="00573FA5">
        <w:rPr>
          <w:rFonts w:ascii="Century Schoolbook" w:hAnsi="Century Schoolbook"/>
          <w:smallCaps/>
        </w:rPr>
        <w:t>)</w:t>
      </w:r>
      <w:r w:rsidRPr="00573FA5">
        <w:rPr>
          <w:rFonts w:ascii="Century Schoolbook" w:hAnsi="Century Schoolbook"/>
        </w:rPr>
        <w:t xml:space="preserve"> and </w:t>
      </w:r>
      <w:r w:rsidRPr="00573FA5">
        <w:rPr>
          <w:rFonts w:ascii="Century Schoolbook" w:hAnsi="Century Schoolbook"/>
          <w:smallCaps/>
        </w:rPr>
        <w:t>4(K)</w:t>
      </w:r>
      <w:r>
        <w:rPr>
          <w:rFonts w:ascii="Century Schoolbook" w:hAnsi="Century Schoolbook"/>
          <w:smallCaps/>
        </w:rPr>
        <w:t>,</w:t>
      </w:r>
      <w:r w:rsidRPr="00573FA5">
        <w:rPr>
          <w:rFonts w:ascii="Century Schoolbook" w:hAnsi="Century Schoolbook"/>
        </w:rPr>
        <w:t xml:space="preserve"> reappointment after the first twelve months </w:t>
      </w:r>
      <w:r>
        <w:rPr>
          <w:rFonts w:ascii="Century Schoolbook" w:hAnsi="Century Schoolbook"/>
        </w:rPr>
        <w:t xml:space="preserve">is usually </w:t>
      </w:r>
      <w:r w:rsidRPr="00573FA5">
        <w:rPr>
          <w:rFonts w:ascii="Century Schoolbook" w:hAnsi="Century Schoolbook"/>
        </w:rPr>
        <w:t>too soon to evaluate lead counsel</w:t>
      </w:r>
      <w:r>
        <w:rPr>
          <w:rFonts w:ascii="Century Schoolbook" w:hAnsi="Century Schoolbook"/>
        </w:rPr>
        <w:t>’s</w:t>
      </w:r>
      <w:r w:rsidRPr="00573FA5">
        <w:rPr>
          <w:rFonts w:ascii="Century Schoolbook" w:hAnsi="Century Schoolbook"/>
        </w:rPr>
        <w:t xml:space="preserve"> performance</w:t>
      </w:r>
      <w:r w:rsidR="00F22AE3">
        <w:rPr>
          <w:rFonts w:ascii="Century Schoolbook" w:hAnsi="Century Schoolbook"/>
        </w:rPr>
        <w:t>, particularly in</w:t>
      </w:r>
      <w:r>
        <w:rPr>
          <w:rFonts w:ascii="Century Schoolbook" w:hAnsi="Century Schoolbook"/>
        </w:rPr>
        <w:t xml:space="preserve"> larger MDLs.</w:t>
      </w:r>
      <w:r w:rsidRPr="00573FA5">
        <w:rPr>
          <w:rFonts w:ascii="Century Schoolbook" w:hAnsi="Century Schoolbook"/>
        </w:rPr>
        <w:t xml:space="preserve"> In </w:t>
      </w:r>
      <w:r>
        <w:rPr>
          <w:rFonts w:ascii="Century Schoolbook" w:hAnsi="Century Schoolbook"/>
        </w:rPr>
        <w:t>smaller litigation</w:t>
      </w:r>
      <w:r w:rsidRPr="00573FA5">
        <w:rPr>
          <w:rFonts w:ascii="Century Schoolbook" w:hAnsi="Century Schoolbook"/>
        </w:rPr>
        <w:t>, th</w:t>
      </w:r>
      <w:r>
        <w:rPr>
          <w:rFonts w:ascii="Century Schoolbook" w:hAnsi="Century Schoolbook"/>
        </w:rPr>
        <w:t>at</w:t>
      </w:r>
      <w:r w:rsidRPr="00573FA5">
        <w:rPr>
          <w:rFonts w:ascii="Century Schoolbook" w:hAnsi="Century Schoolbook"/>
        </w:rPr>
        <w:t xml:space="preserve"> timing </w:t>
      </w:r>
      <w:r>
        <w:rPr>
          <w:rFonts w:ascii="Century Schoolbook" w:hAnsi="Century Schoolbook"/>
        </w:rPr>
        <w:t>can</w:t>
      </w:r>
      <w:r w:rsidRPr="00573FA5">
        <w:rPr>
          <w:rFonts w:ascii="Century Schoolbook" w:hAnsi="Century Schoolbook"/>
        </w:rPr>
        <w:t xml:space="preserve"> be </w:t>
      </w:r>
      <w:r>
        <w:rPr>
          <w:rFonts w:ascii="Century Schoolbook" w:hAnsi="Century Schoolbook"/>
        </w:rPr>
        <w:t xml:space="preserve">about </w:t>
      </w:r>
      <w:r w:rsidRPr="00573FA5">
        <w:rPr>
          <w:rFonts w:ascii="Century Schoolbook" w:hAnsi="Century Schoolbook"/>
        </w:rPr>
        <w:t>right.</w:t>
      </w:r>
    </w:p>
    <w:p w:rsidR="00610156" w:rsidRPr="00573FA5" w:rsidRDefault="00610156" w:rsidP="00610156">
      <w:pPr>
        <w:pStyle w:val="BodyText"/>
        <w:ind w:firstLine="720"/>
        <w:contextualSpacing/>
        <w:rPr>
          <w:rFonts w:ascii="Century Schoolbook" w:hAnsi="Century Schoolbook"/>
        </w:rPr>
      </w:pPr>
    </w:p>
    <w:p w:rsidR="00610156" w:rsidRPr="00573FA5" w:rsidRDefault="00CA3C6F" w:rsidP="00610156">
      <w:pPr>
        <w:pStyle w:val="BodyText"/>
        <w:ind w:firstLine="720"/>
        <w:contextualSpacing/>
        <w:rPr>
          <w:rFonts w:ascii="Century Schoolbook" w:hAnsi="Century Schoolbook"/>
        </w:rPr>
      </w:pPr>
      <w:r w:rsidRPr="00573FA5">
        <w:rPr>
          <w:rFonts w:ascii="Century Schoolbook" w:hAnsi="Century Schoolbook"/>
        </w:rPr>
        <w:t xml:space="preserve">Many mass-tort MDLs take years </w:t>
      </w:r>
      <w:r>
        <w:rPr>
          <w:rFonts w:ascii="Century Schoolbook" w:hAnsi="Century Schoolbook"/>
        </w:rPr>
        <w:t>to</w:t>
      </w:r>
      <w:r w:rsidRPr="00573FA5">
        <w:rPr>
          <w:rFonts w:ascii="Century Schoolbook" w:hAnsi="Century Schoolbook"/>
        </w:rPr>
        <w:t xml:space="preserve"> resol</w:t>
      </w:r>
      <w:r>
        <w:rPr>
          <w:rFonts w:ascii="Century Schoolbook" w:hAnsi="Century Schoolbook"/>
        </w:rPr>
        <w:t>ve</w:t>
      </w:r>
      <w:r w:rsidRPr="00573FA5">
        <w:rPr>
          <w:rFonts w:ascii="Century Schoolbook" w:hAnsi="Century Schoolbook"/>
        </w:rPr>
        <w:t xml:space="preserve">. Leadership does not remain </w:t>
      </w:r>
      <w:r w:rsidRPr="00573FA5">
        <w:rPr>
          <w:rFonts w:ascii="Century Schoolbook" w:hAnsi="Century Schoolbook"/>
        </w:rPr>
        <w:lastRenderedPageBreak/>
        <w:t>static</w:t>
      </w:r>
      <w:r>
        <w:rPr>
          <w:rFonts w:ascii="Century Schoolbook" w:hAnsi="Century Schoolbook"/>
        </w:rPr>
        <w:t>,</w:t>
      </w:r>
      <w:r w:rsidRPr="00573FA5">
        <w:rPr>
          <w:rFonts w:ascii="Century Schoolbook" w:hAnsi="Century Schoolbook"/>
        </w:rPr>
        <w:t xml:space="preserve"> and circumstances beyond the control of individual lead counsel may have significant impacts. The MDL workload burden may grow to </w:t>
      </w:r>
      <w:r>
        <w:rPr>
          <w:rFonts w:ascii="Century Schoolbook" w:hAnsi="Century Schoolbook"/>
        </w:rPr>
        <w:t xml:space="preserve">the point </w:t>
      </w:r>
      <w:r w:rsidRPr="00573FA5">
        <w:rPr>
          <w:rFonts w:ascii="Century Schoolbook" w:hAnsi="Century Schoolbook"/>
        </w:rPr>
        <w:t>that lead counsel cannot continue to devote the time and financial resources necessary to allow them to continue in a leadership role</w:t>
      </w:r>
      <w:r>
        <w:rPr>
          <w:rFonts w:ascii="Century Schoolbook" w:hAnsi="Century Schoolbook"/>
        </w:rPr>
        <w:t>, or it may shrink to the point that leadership imposes significant opportunity costs</w:t>
      </w:r>
      <w:r w:rsidRPr="00573FA5">
        <w:rPr>
          <w:rFonts w:ascii="Century Schoolbook" w:hAnsi="Century Schoolbook"/>
        </w:rPr>
        <w:t xml:space="preserve">. </w:t>
      </w:r>
      <w:r>
        <w:rPr>
          <w:rFonts w:ascii="Century Schoolbook" w:hAnsi="Century Schoolbook"/>
        </w:rPr>
        <w:t>S</w:t>
      </w:r>
      <w:r w:rsidRPr="00573FA5">
        <w:rPr>
          <w:rFonts w:ascii="Century Schoolbook" w:hAnsi="Century Schoolbook"/>
        </w:rPr>
        <w:t>ome lawyers may not have the continuing ability or interest to fulfill true leadership roles</w:t>
      </w:r>
      <w:r>
        <w:rPr>
          <w:rFonts w:ascii="Century Schoolbook" w:hAnsi="Century Schoolbook"/>
        </w:rPr>
        <w:t>. All of</w:t>
      </w:r>
      <w:r w:rsidRPr="00573FA5">
        <w:rPr>
          <w:rFonts w:ascii="Century Schoolbook" w:hAnsi="Century Schoolbook"/>
        </w:rPr>
        <w:t xml:space="preserve"> </w:t>
      </w:r>
      <w:r>
        <w:rPr>
          <w:rFonts w:ascii="Century Schoolbook" w:hAnsi="Century Schoolbook"/>
        </w:rPr>
        <w:t>these issues</w:t>
      </w:r>
      <w:r w:rsidRPr="00573FA5">
        <w:rPr>
          <w:rFonts w:ascii="Century Schoolbook" w:hAnsi="Century Schoolbook"/>
        </w:rPr>
        <w:t>may not become apparent to the court until the litigation has been underway for some time.</w:t>
      </w:r>
      <w:r>
        <w:rPr>
          <w:rFonts w:ascii="Century Schoolbook" w:hAnsi="Century Schoolbook"/>
        </w:rPr>
        <w:t xml:space="preserve"> A reappointment process ensures timely airing of these sorts of problems.</w:t>
      </w:r>
    </w:p>
    <w:p w:rsidR="00610156" w:rsidRPr="00573FA5" w:rsidRDefault="00610156" w:rsidP="00610156">
      <w:pPr>
        <w:pStyle w:val="BodyText"/>
        <w:ind w:firstLine="720"/>
        <w:contextualSpacing/>
        <w:rPr>
          <w:rFonts w:ascii="Century Schoolbook" w:hAnsi="Century Schoolbook"/>
        </w:rPr>
      </w:pPr>
    </w:p>
    <w:p w:rsidR="00610156" w:rsidRPr="00573FA5" w:rsidRDefault="00CA3C6F" w:rsidP="00610156">
      <w:pPr>
        <w:pStyle w:val="BodyText"/>
        <w:ind w:firstLine="720"/>
        <w:contextualSpacing/>
        <w:rPr>
          <w:rFonts w:ascii="Century Schoolbook" w:hAnsi="Century Schoolbook"/>
        </w:rPr>
      </w:pPr>
      <w:r>
        <w:rPr>
          <w:rFonts w:ascii="Century Schoolbook" w:hAnsi="Century Schoolbook"/>
        </w:rPr>
        <w:t>Further</w:t>
      </w:r>
      <w:r w:rsidRPr="00573FA5">
        <w:rPr>
          <w:rFonts w:ascii="Century Schoolbook" w:hAnsi="Century Schoolbook"/>
        </w:rPr>
        <w:t>, non-leadership counsel may become heavily involved in the work of the MDL</w:t>
      </w:r>
      <w:r>
        <w:rPr>
          <w:rFonts w:ascii="Century Schoolbook" w:hAnsi="Century Schoolbook"/>
        </w:rPr>
        <w:t>,</w:t>
      </w:r>
      <w:r w:rsidRPr="00573FA5">
        <w:rPr>
          <w:rFonts w:ascii="Century Schoolbook" w:hAnsi="Century Schoolbook"/>
        </w:rPr>
        <w:t xml:space="preserve"> or </w:t>
      </w:r>
      <w:r>
        <w:rPr>
          <w:rFonts w:ascii="Century Schoolbook" w:hAnsi="Century Schoolbook"/>
        </w:rPr>
        <w:t xml:space="preserve">from related litigation </w:t>
      </w:r>
      <w:r w:rsidRPr="00573FA5">
        <w:rPr>
          <w:rFonts w:ascii="Century Schoolbook" w:hAnsi="Century Schoolbook"/>
        </w:rPr>
        <w:t>develop a particular expertise valuable to the MDL</w:t>
      </w:r>
      <w:r>
        <w:rPr>
          <w:rFonts w:ascii="Century Schoolbook" w:hAnsi="Century Schoolbook"/>
        </w:rPr>
        <w:t>.</w:t>
      </w:r>
      <w:r w:rsidRPr="00573FA5">
        <w:rPr>
          <w:rFonts w:ascii="Century Schoolbook" w:hAnsi="Century Schoolbook"/>
        </w:rPr>
        <w:t xml:space="preserve"> </w:t>
      </w:r>
      <w:r>
        <w:rPr>
          <w:rFonts w:ascii="Century Schoolbook" w:hAnsi="Century Schoolbook"/>
        </w:rPr>
        <w:t xml:space="preserve">Such circumstances justify appointing additional </w:t>
      </w:r>
      <w:r w:rsidRPr="00573FA5">
        <w:rPr>
          <w:rFonts w:ascii="Century Schoolbook" w:hAnsi="Century Schoolbook"/>
        </w:rPr>
        <w:t>lead</w:t>
      </w:r>
      <w:r>
        <w:rPr>
          <w:rFonts w:ascii="Century Schoolbook" w:hAnsi="Century Schoolbook"/>
        </w:rPr>
        <w:t xml:space="preserve"> </w:t>
      </w:r>
      <w:r w:rsidRPr="00573FA5">
        <w:rPr>
          <w:rFonts w:ascii="Century Schoolbook" w:hAnsi="Century Schoolbook"/>
        </w:rPr>
        <w:t>counsel during the course of the MDL</w:t>
      </w:r>
      <w:r>
        <w:rPr>
          <w:rFonts w:ascii="Century Schoolbook" w:hAnsi="Century Schoolbook"/>
        </w:rPr>
        <w:t>,</w:t>
      </w:r>
      <w:r w:rsidRPr="00573FA5">
        <w:rPr>
          <w:rFonts w:ascii="Century Schoolbook" w:hAnsi="Century Schoolbook"/>
        </w:rPr>
        <w:t xml:space="preserve"> </w:t>
      </w:r>
      <w:r>
        <w:rPr>
          <w:rFonts w:ascii="Century Schoolbook" w:hAnsi="Century Schoolbook"/>
        </w:rPr>
        <w:t xml:space="preserve">although the </w:t>
      </w:r>
      <w:r w:rsidRPr="00573FA5">
        <w:rPr>
          <w:rFonts w:ascii="Century Schoolbook" w:hAnsi="Century Schoolbook"/>
        </w:rPr>
        <w:t xml:space="preserve">appointment may not have been appropriate at the outset of litigation. A reappointment process establishes a set framework that the court can use to make necessary adjustments to accommodate changed circumstances. </w:t>
      </w:r>
      <w:r>
        <w:rPr>
          <w:rFonts w:ascii="Century Schoolbook" w:hAnsi="Century Schoolbook"/>
        </w:rPr>
        <w:t>L</w:t>
      </w:r>
      <w:r w:rsidRPr="00573FA5">
        <w:rPr>
          <w:rFonts w:ascii="Century Schoolbook" w:hAnsi="Century Schoolbook"/>
        </w:rPr>
        <w:t xml:space="preserve">ead counsel with insufficient </w:t>
      </w:r>
      <w:r>
        <w:rPr>
          <w:rFonts w:ascii="Century Schoolbook" w:hAnsi="Century Schoolbook"/>
        </w:rPr>
        <w:t xml:space="preserve">ongoing </w:t>
      </w:r>
      <w:r w:rsidRPr="00573FA5">
        <w:rPr>
          <w:rFonts w:ascii="Century Schoolbook" w:hAnsi="Century Schoolbook"/>
        </w:rPr>
        <w:t xml:space="preserve">personal involvement </w:t>
      </w:r>
      <w:r>
        <w:rPr>
          <w:rFonts w:ascii="Century Schoolbook" w:hAnsi="Century Schoolbook"/>
        </w:rPr>
        <w:t xml:space="preserve">may have to be replaced, as may </w:t>
      </w:r>
      <w:r w:rsidRPr="00573FA5">
        <w:rPr>
          <w:rFonts w:ascii="Century Schoolbook" w:hAnsi="Century Schoolbook"/>
        </w:rPr>
        <w:t xml:space="preserve">senior lead counsel </w:t>
      </w:r>
      <w:r>
        <w:rPr>
          <w:rFonts w:ascii="Century Schoolbook" w:hAnsi="Century Schoolbook"/>
        </w:rPr>
        <w:t xml:space="preserve">where </w:t>
      </w:r>
      <w:r w:rsidRPr="00573FA5">
        <w:rPr>
          <w:rFonts w:ascii="Century Schoolbook" w:hAnsi="Century Schoolbook"/>
        </w:rPr>
        <w:t xml:space="preserve">more junior lawyers </w:t>
      </w:r>
      <w:r>
        <w:rPr>
          <w:rFonts w:ascii="Century Schoolbook" w:hAnsi="Century Schoolbook"/>
        </w:rPr>
        <w:t xml:space="preserve">are </w:t>
      </w:r>
      <w:r w:rsidRPr="00573FA5">
        <w:rPr>
          <w:rFonts w:ascii="Century Schoolbook" w:hAnsi="Century Schoolbook"/>
        </w:rPr>
        <w:t xml:space="preserve">doing the actual work. Advancing more junior attorneys </w:t>
      </w:r>
      <w:r>
        <w:rPr>
          <w:rFonts w:ascii="Century Schoolbook" w:hAnsi="Century Schoolbook"/>
        </w:rPr>
        <w:t xml:space="preserve">not only </w:t>
      </w:r>
      <w:r w:rsidRPr="00573FA5">
        <w:rPr>
          <w:rFonts w:ascii="Century Schoolbook" w:hAnsi="Century Schoolbook"/>
        </w:rPr>
        <w:t xml:space="preserve">benefits those lawyers by bolstering their resumes, which can facilitate future appointments, </w:t>
      </w:r>
      <w:r>
        <w:rPr>
          <w:rFonts w:ascii="Century Schoolbook" w:hAnsi="Century Schoolbook"/>
        </w:rPr>
        <w:t xml:space="preserve">but also is a vehicle to foster </w:t>
      </w:r>
      <w:r w:rsidRPr="00573FA5">
        <w:rPr>
          <w:rFonts w:ascii="Century Schoolbook" w:hAnsi="Century Schoolbook"/>
        </w:rPr>
        <w:t>greater diversity in MDL representations.</w:t>
      </w:r>
    </w:p>
    <w:p w:rsidR="00610156" w:rsidRPr="00573FA5" w:rsidRDefault="00610156" w:rsidP="00610156">
      <w:pPr>
        <w:pStyle w:val="BodyText"/>
        <w:contextualSpacing/>
        <w:rPr>
          <w:rFonts w:ascii="Century Schoolbook" w:hAnsi="Century Schoolbook"/>
        </w:rPr>
      </w:pPr>
    </w:p>
    <w:p w:rsidR="00610156" w:rsidRPr="00573FA5" w:rsidRDefault="00CA3C6F" w:rsidP="00610156">
      <w:pPr>
        <w:pStyle w:val="BodyText"/>
        <w:ind w:left="720" w:right="720"/>
        <w:contextualSpacing/>
        <w:jc w:val="both"/>
        <w:rPr>
          <w:rFonts w:ascii="Century Schoolbook" w:hAnsi="Century Schoolbook"/>
          <w:i/>
        </w:rPr>
      </w:pPr>
      <w:r w:rsidRPr="00573FA5">
        <w:rPr>
          <w:rFonts w:ascii="Century Schoolbook" w:hAnsi="Century Schoolbook"/>
          <w:smallCaps/>
        </w:rPr>
        <w:t>Best Practice 11D</w:t>
      </w:r>
      <w:r w:rsidRPr="00573FA5">
        <w:rPr>
          <w:rFonts w:ascii="Century Schoolbook" w:hAnsi="Century Schoolbook"/>
        </w:rPr>
        <w:t>: As part of the reappointment process, the court should requir</w:t>
      </w:r>
      <w:r>
        <w:rPr>
          <w:rFonts w:ascii="Century Schoolbook" w:hAnsi="Century Schoolbook"/>
        </w:rPr>
        <w:t>e</w:t>
      </w:r>
      <w:r w:rsidRPr="00573FA5">
        <w:rPr>
          <w:rFonts w:ascii="Century Schoolbook" w:hAnsi="Century Schoolbook"/>
        </w:rPr>
        <w:t xml:space="preserve"> lead counsel to report on </w:t>
      </w:r>
      <w:r w:rsidR="00404174">
        <w:rPr>
          <w:rFonts w:ascii="Century Schoolbook" w:hAnsi="Century Schoolbook"/>
        </w:rPr>
        <w:t xml:space="preserve">their </w:t>
      </w:r>
      <w:r w:rsidRPr="00573FA5">
        <w:rPr>
          <w:rFonts w:ascii="Century Schoolbook" w:hAnsi="Century Schoolbook"/>
        </w:rPr>
        <w:t xml:space="preserve">exercise </w:t>
      </w:r>
      <w:r>
        <w:rPr>
          <w:rFonts w:ascii="Century Schoolbook" w:hAnsi="Century Schoolbook"/>
        </w:rPr>
        <w:t xml:space="preserve">of </w:t>
      </w:r>
      <w:r w:rsidRPr="00573FA5">
        <w:rPr>
          <w:rFonts w:ascii="Century Schoolbook" w:hAnsi="Century Schoolbook"/>
        </w:rPr>
        <w:t>MDL obligations, including communication with non-leadership lawyers.</w:t>
      </w:r>
    </w:p>
    <w:p w:rsidR="00610156" w:rsidRPr="00573FA5" w:rsidRDefault="00610156" w:rsidP="00610156">
      <w:pPr>
        <w:pStyle w:val="BodyText"/>
        <w:ind w:left="720" w:right="720"/>
        <w:contextualSpacing/>
        <w:rPr>
          <w:rFonts w:ascii="Century Schoolbook" w:hAnsi="Century Schoolbook"/>
          <w:i/>
        </w:rPr>
      </w:pPr>
    </w:p>
    <w:p w:rsidR="00610156" w:rsidRPr="00573FA5" w:rsidRDefault="00CA3C6F" w:rsidP="00610156">
      <w:pPr>
        <w:pStyle w:val="BodyText"/>
        <w:ind w:firstLine="720"/>
        <w:contextualSpacing/>
        <w:rPr>
          <w:rFonts w:ascii="Century Schoolbook" w:hAnsi="Century Schoolbook"/>
        </w:rPr>
      </w:pPr>
      <w:r>
        <w:rPr>
          <w:rFonts w:ascii="Century Schoolbook" w:hAnsi="Century Schoolbook"/>
        </w:rPr>
        <w:t>L</w:t>
      </w:r>
      <w:r w:rsidRPr="00573FA5">
        <w:rPr>
          <w:rFonts w:ascii="Century Schoolbook" w:hAnsi="Century Schoolbook"/>
        </w:rPr>
        <w:t xml:space="preserve">ead counsel seeking reappointment </w:t>
      </w:r>
      <w:r>
        <w:rPr>
          <w:rFonts w:ascii="Century Schoolbook" w:hAnsi="Century Schoolbook"/>
        </w:rPr>
        <w:t xml:space="preserve">should </w:t>
      </w:r>
      <w:r w:rsidRPr="00573FA5">
        <w:rPr>
          <w:rFonts w:ascii="Century Schoolbook" w:hAnsi="Century Schoolbook"/>
        </w:rPr>
        <w:t xml:space="preserve">provide information not only on how effective they have been but also on </w:t>
      </w:r>
      <w:r>
        <w:rPr>
          <w:rFonts w:ascii="Century Schoolbook" w:hAnsi="Century Schoolbook"/>
        </w:rPr>
        <w:t xml:space="preserve">their interaction with </w:t>
      </w:r>
      <w:r w:rsidRPr="00573FA5">
        <w:rPr>
          <w:rFonts w:ascii="Century Schoolbook" w:hAnsi="Century Schoolbook"/>
        </w:rPr>
        <w:t xml:space="preserve">non-leadership counsel. </w:t>
      </w:r>
      <w:r w:rsidR="00404174">
        <w:rPr>
          <w:rFonts w:ascii="Century Schoolbook" w:hAnsi="Century Schoolbook"/>
        </w:rPr>
        <w:t>T</w:t>
      </w:r>
      <w:r w:rsidRPr="00573FA5">
        <w:rPr>
          <w:rFonts w:ascii="Century Schoolbook" w:hAnsi="Century Schoolbook"/>
        </w:rPr>
        <w:t>he reappointment process</w:t>
      </w:r>
      <w:r>
        <w:rPr>
          <w:rFonts w:ascii="Century Schoolbook" w:hAnsi="Century Schoolbook"/>
        </w:rPr>
        <w:t xml:space="preserve"> is a convenient point for </w:t>
      </w:r>
      <w:r w:rsidRPr="00573FA5">
        <w:rPr>
          <w:rFonts w:ascii="Century Schoolbook" w:hAnsi="Century Schoolbook"/>
        </w:rPr>
        <w:t xml:space="preserve">inviting comment from lawyers not personally seeking leadership positions to comment on the performance of lead counsel. These steps provide the court an opportunity to address issues before they become acute. </w:t>
      </w:r>
      <w:r>
        <w:rPr>
          <w:rFonts w:ascii="Century Schoolbook" w:hAnsi="Century Schoolbook"/>
        </w:rPr>
        <w:t xml:space="preserve">These opportunities can also estop </w:t>
      </w:r>
      <w:r w:rsidRPr="00573FA5">
        <w:rPr>
          <w:rFonts w:ascii="Century Schoolbook" w:hAnsi="Century Schoolbook"/>
        </w:rPr>
        <w:t xml:space="preserve">non-leadership lawyers </w:t>
      </w:r>
      <w:r>
        <w:rPr>
          <w:rFonts w:ascii="Century Schoolbook" w:hAnsi="Century Schoolbook"/>
        </w:rPr>
        <w:t>from raising last-minute, disruptive complaints</w:t>
      </w:r>
      <w:r w:rsidRPr="00573FA5">
        <w:rPr>
          <w:rFonts w:ascii="Century Schoolbook" w:hAnsi="Century Schoolbook"/>
        </w:rPr>
        <w:t xml:space="preserve"> at very late stages</w:t>
      </w:r>
      <w:r>
        <w:rPr>
          <w:rFonts w:ascii="Century Schoolbook" w:hAnsi="Century Schoolbook"/>
        </w:rPr>
        <w:t>. Such belated complaints</w:t>
      </w:r>
      <w:r w:rsidRPr="00573FA5">
        <w:rPr>
          <w:rFonts w:ascii="Century Schoolbook" w:hAnsi="Century Schoolbook"/>
        </w:rPr>
        <w:t xml:space="preserve"> undermine </w:t>
      </w:r>
      <w:r>
        <w:rPr>
          <w:rFonts w:ascii="Century Schoolbook" w:hAnsi="Century Schoolbook"/>
        </w:rPr>
        <w:t xml:space="preserve">judicial </w:t>
      </w:r>
      <w:r w:rsidRPr="00573FA5">
        <w:rPr>
          <w:rFonts w:ascii="Century Schoolbook" w:hAnsi="Century Schoolbook"/>
        </w:rPr>
        <w:t xml:space="preserve">management of litigation in reliance on </w:t>
      </w:r>
      <w:r>
        <w:rPr>
          <w:rFonts w:ascii="Century Schoolbook" w:hAnsi="Century Schoolbook"/>
        </w:rPr>
        <w:t xml:space="preserve">lead counsel’s </w:t>
      </w:r>
      <w:r w:rsidRPr="00573FA5">
        <w:rPr>
          <w:rFonts w:ascii="Century Schoolbook" w:hAnsi="Century Schoolbook"/>
        </w:rPr>
        <w:t xml:space="preserve">work, and generally diminishes </w:t>
      </w:r>
      <w:r>
        <w:rPr>
          <w:rFonts w:ascii="Century Schoolbook" w:hAnsi="Century Schoolbook"/>
        </w:rPr>
        <w:t xml:space="preserve">the </w:t>
      </w:r>
      <w:r w:rsidRPr="00573FA5">
        <w:rPr>
          <w:rFonts w:ascii="Century Schoolbook" w:hAnsi="Century Schoolbook"/>
        </w:rPr>
        <w:t xml:space="preserve">confidence </w:t>
      </w:r>
      <w:r>
        <w:rPr>
          <w:rFonts w:ascii="Century Schoolbook" w:hAnsi="Century Schoolbook"/>
        </w:rPr>
        <w:t xml:space="preserve">of </w:t>
      </w:r>
      <w:r w:rsidRPr="00573FA5">
        <w:rPr>
          <w:rFonts w:ascii="Century Schoolbook" w:hAnsi="Century Schoolbook"/>
        </w:rPr>
        <w:t xml:space="preserve">all </w:t>
      </w:r>
      <w:r>
        <w:rPr>
          <w:rFonts w:ascii="Century Schoolbook" w:hAnsi="Century Schoolbook"/>
        </w:rPr>
        <w:t xml:space="preserve">parties to </w:t>
      </w:r>
      <w:r w:rsidRPr="00573FA5">
        <w:rPr>
          <w:rFonts w:ascii="Century Schoolbook" w:hAnsi="Century Schoolbook"/>
        </w:rPr>
        <w:t>the MDL process.</w:t>
      </w:r>
      <w:r>
        <w:rPr>
          <w:rFonts w:ascii="Century Schoolbook" w:hAnsi="Century Schoolbook"/>
        </w:rPr>
        <w:t xml:space="preserve"> Requiring airing of grievances during the reappointment process can be a valuable tool to ward off such disruptive tactics.</w:t>
      </w:r>
    </w:p>
    <w:p w:rsidR="00610156" w:rsidRDefault="00610156" w:rsidP="00610156">
      <w:pPr>
        <w:pStyle w:val="BodyText"/>
        <w:contextualSpacing/>
        <w:rPr>
          <w:rFonts w:ascii="Century Schoolbook" w:hAnsi="Century Schoolbook"/>
        </w:rPr>
      </w:pPr>
    </w:p>
    <w:p w:rsidR="00610156" w:rsidRDefault="00CA3C6F" w:rsidP="00610156">
      <w:pPr>
        <w:spacing w:after="120"/>
        <w:jc w:val="center"/>
        <w:rPr>
          <w:rFonts w:ascii="Century Schoolbook" w:hAnsi="Century Schoolbook"/>
          <w:sz w:val="24"/>
          <w:szCs w:val="24"/>
        </w:rPr>
      </w:pPr>
      <w:r w:rsidRPr="00750975">
        <w:rPr>
          <w:rFonts w:ascii="Century Schoolbook" w:hAnsi="Century Schoolbook"/>
          <w:b/>
          <w:smallCaps/>
          <w:sz w:val="24"/>
          <w:szCs w:val="24"/>
        </w:rPr>
        <w:t>....</w:t>
      </w:r>
      <w:r w:rsidR="00F22AE3" w:rsidRPr="00F22AE3">
        <w:rPr>
          <w:rFonts w:ascii="Century Schoolbook" w:hAnsi="Century Schoolbook"/>
          <w:sz w:val="24"/>
          <w:szCs w:val="24"/>
        </w:rPr>
        <w:t xml:space="preserve"> </w:t>
      </w:r>
      <w:r w:rsidR="00F22AE3">
        <w:rPr>
          <w:rFonts w:ascii="Century Schoolbook" w:hAnsi="Century Schoolbook"/>
          <w:sz w:val="24"/>
          <w:szCs w:val="24"/>
        </w:rPr>
        <w:t>[</w:t>
      </w:r>
      <w:r w:rsidR="00BC2CA2">
        <w:rPr>
          <w:rFonts w:ascii="Century Schoolbook" w:hAnsi="Century Schoolbook"/>
          <w:sz w:val="24"/>
          <w:szCs w:val="24"/>
        </w:rPr>
        <w:t>Material o</w:t>
      </w:r>
      <w:r w:rsidR="00F22AE3">
        <w:rPr>
          <w:rFonts w:ascii="Century Schoolbook" w:hAnsi="Century Schoolbook"/>
          <w:sz w:val="24"/>
          <w:szCs w:val="24"/>
        </w:rPr>
        <w:t>mitted from 2014 MDL Standards and Best Practices.]</w:t>
      </w:r>
    </w:p>
    <w:p w:rsidR="00D07328" w:rsidRDefault="00D07328" w:rsidP="00610156">
      <w:pPr>
        <w:spacing w:after="120"/>
        <w:jc w:val="center"/>
        <w:rPr>
          <w:rFonts w:ascii="Century Schoolbook" w:hAnsi="Century Schoolbook"/>
          <w:sz w:val="24"/>
          <w:szCs w:val="24"/>
        </w:rPr>
      </w:pPr>
    </w:p>
    <w:p w:rsidR="00D07328" w:rsidRDefault="00D07328" w:rsidP="00610156">
      <w:pPr>
        <w:spacing w:after="120"/>
        <w:jc w:val="center"/>
        <w:rPr>
          <w:rFonts w:ascii="Century Schoolbook" w:hAnsi="Century Schoolbook"/>
          <w:sz w:val="24"/>
          <w:szCs w:val="24"/>
        </w:rPr>
      </w:pPr>
    </w:p>
    <w:p w:rsidR="00D07328" w:rsidRDefault="00D07328" w:rsidP="00610156">
      <w:pPr>
        <w:spacing w:after="120"/>
        <w:jc w:val="center"/>
        <w:rPr>
          <w:rFonts w:ascii="Century Schoolbook" w:hAnsi="Century Schoolbook"/>
          <w:sz w:val="24"/>
          <w:szCs w:val="24"/>
        </w:rPr>
      </w:pPr>
    </w:p>
    <w:p w:rsidR="00F22AE3" w:rsidRPr="00750975" w:rsidRDefault="00F22AE3" w:rsidP="00610156">
      <w:pPr>
        <w:spacing w:after="120"/>
        <w:jc w:val="center"/>
        <w:rPr>
          <w:rFonts w:ascii="Century Schoolbook" w:hAnsi="Century Schoolbook"/>
          <w:b/>
          <w:smallCaps/>
          <w:sz w:val="24"/>
          <w:szCs w:val="24"/>
        </w:rPr>
      </w:pPr>
    </w:p>
    <w:p w:rsidR="00610156" w:rsidRDefault="00CA3C6F" w:rsidP="00610156">
      <w:pPr>
        <w:jc w:val="center"/>
        <w:rPr>
          <w:rFonts w:ascii="Century Schoolbook" w:hAnsi="Century Schoolbook"/>
          <w:b/>
          <w:smallCaps/>
          <w:sz w:val="24"/>
          <w:szCs w:val="24"/>
        </w:rPr>
      </w:pPr>
      <w:r w:rsidRPr="00750975">
        <w:rPr>
          <w:rFonts w:ascii="Century Schoolbook" w:hAnsi="Century Schoolbook"/>
          <w:b/>
          <w:smallCaps/>
          <w:sz w:val="24"/>
          <w:szCs w:val="24"/>
        </w:rPr>
        <w:lastRenderedPageBreak/>
        <w:t>CHAPTER 5</w:t>
      </w:r>
    </w:p>
    <w:p w:rsidR="00610156" w:rsidRPr="00750975" w:rsidRDefault="00610156" w:rsidP="00610156">
      <w:pPr>
        <w:jc w:val="center"/>
        <w:rPr>
          <w:rFonts w:ascii="Century Schoolbook" w:hAnsi="Century Schoolbook"/>
          <w:b/>
          <w:smallCaps/>
          <w:sz w:val="24"/>
          <w:szCs w:val="24"/>
        </w:rPr>
      </w:pPr>
    </w:p>
    <w:p w:rsidR="00610156" w:rsidRPr="00750975" w:rsidRDefault="00CA3C6F" w:rsidP="00610156">
      <w:pPr>
        <w:jc w:val="center"/>
        <w:rPr>
          <w:rFonts w:ascii="Century Schoolbook" w:hAnsi="Century Schoolbook"/>
          <w:b/>
          <w:smallCaps/>
          <w:sz w:val="24"/>
          <w:szCs w:val="24"/>
        </w:rPr>
      </w:pPr>
      <w:r w:rsidRPr="00750975">
        <w:rPr>
          <w:rFonts w:ascii="Century Schoolbook" w:hAnsi="Century Schoolbook"/>
          <w:b/>
          <w:smallCaps/>
          <w:sz w:val="24"/>
          <w:szCs w:val="24"/>
        </w:rPr>
        <w:t>ESTABLISHMENT AND USE OF COMMON FUNDS</w:t>
      </w:r>
    </w:p>
    <w:p w:rsidR="00F22AE3" w:rsidRDefault="00CA3C6F" w:rsidP="00F22AE3">
      <w:pPr>
        <w:spacing w:after="240"/>
        <w:jc w:val="center"/>
        <w:rPr>
          <w:rFonts w:ascii="Century Schoolbook" w:hAnsi="Century Schoolbook"/>
          <w:sz w:val="24"/>
          <w:szCs w:val="24"/>
        </w:rPr>
      </w:pPr>
      <w:r w:rsidRPr="00750975">
        <w:rPr>
          <w:rFonts w:ascii="Century Schoolbook" w:hAnsi="Century Schoolbook"/>
          <w:b/>
          <w:smallCaps/>
          <w:sz w:val="24"/>
          <w:szCs w:val="24"/>
        </w:rPr>
        <w:t>….</w:t>
      </w:r>
      <w:r w:rsidR="00F22AE3">
        <w:rPr>
          <w:rFonts w:ascii="Century Schoolbook" w:hAnsi="Century Schoolbook"/>
          <w:sz w:val="24"/>
          <w:szCs w:val="24"/>
        </w:rPr>
        <w:t>[</w:t>
      </w:r>
      <w:r w:rsidR="00BC2CA2">
        <w:rPr>
          <w:rFonts w:ascii="Century Schoolbook" w:hAnsi="Century Schoolbook"/>
          <w:sz w:val="24"/>
          <w:szCs w:val="24"/>
        </w:rPr>
        <w:t>Material o</w:t>
      </w:r>
      <w:r w:rsidR="00F22AE3">
        <w:rPr>
          <w:rFonts w:ascii="Century Schoolbook" w:hAnsi="Century Schoolbook"/>
          <w:sz w:val="24"/>
          <w:szCs w:val="24"/>
        </w:rPr>
        <w:t>mitted from 2014 MDL Standards and Best Practices.]</w:t>
      </w:r>
    </w:p>
    <w:p w:rsidR="00610156" w:rsidRPr="00750975" w:rsidRDefault="00CA3C6F" w:rsidP="00F22AE3">
      <w:pPr>
        <w:spacing w:after="240"/>
        <w:jc w:val="center"/>
        <w:rPr>
          <w:rFonts w:ascii="Century Schoolbook" w:hAnsi="Century Schoolbook"/>
          <w:b/>
          <w:smallCaps/>
          <w:sz w:val="24"/>
          <w:szCs w:val="24"/>
        </w:rPr>
      </w:pPr>
      <w:r w:rsidRPr="00750975">
        <w:rPr>
          <w:rFonts w:ascii="Century Schoolbook" w:hAnsi="Century Schoolbook"/>
          <w:b/>
          <w:smallCaps/>
          <w:sz w:val="24"/>
          <w:szCs w:val="24"/>
        </w:rPr>
        <w:t>CHAPTER 6</w:t>
      </w:r>
    </w:p>
    <w:p w:rsidR="00610156" w:rsidRPr="00750975" w:rsidRDefault="00610156" w:rsidP="00610156">
      <w:pPr>
        <w:pStyle w:val="Default"/>
        <w:contextualSpacing/>
        <w:jc w:val="center"/>
        <w:rPr>
          <w:rFonts w:ascii="Century Schoolbook" w:hAnsi="Century Schoolbook"/>
          <w:b/>
          <w:smallCaps/>
        </w:rPr>
      </w:pPr>
    </w:p>
    <w:p w:rsidR="00610156" w:rsidRPr="00750975" w:rsidRDefault="00CA3C6F" w:rsidP="00610156">
      <w:pPr>
        <w:pStyle w:val="Default"/>
        <w:contextualSpacing/>
        <w:jc w:val="center"/>
        <w:rPr>
          <w:rFonts w:ascii="Century Schoolbook" w:hAnsi="Century Schoolbook"/>
          <w:smallCaps/>
        </w:rPr>
      </w:pPr>
      <w:r w:rsidRPr="00750975">
        <w:rPr>
          <w:rFonts w:ascii="Century Schoolbook" w:hAnsi="Century Schoolbook"/>
          <w:b/>
          <w:smallCaps/>
        </w:rPr>
        <w:t>SETTLEMENT REVIEW AND CLAIMS-PROCESSING ADMINISTRATION</w:t>
      </w:r>
    </w:p>
    <w:p w:rsidR="00610156" w:rsidRPr="00573FA5" w:rsidRDefault="00610156" w:rsidP="00610156">
      <w:pPr>
        <w:pStyle w:val="Default"/>
        <w:contextualSpacing/>
        <w:rPr>
          <w:rFonts w:ascii="Century Schoolbook" w:hAnsi="Century Schoolbook"/>
          <w:color w:val="auto"/>
        </w:rPr>
      </w:pPr>
    </w:p>
    <w:p w:rsidR="00610156" w:rsidRPr="00573FA5" w:rsidRDefault="00CA3C6F" w:rsidP="00610156">
      <w:pPr>
        <w:pStyle w:val="Default"/>
        <w:ind w:left="720" w:right="720"/>
        <w:contextualSpacing/>
        <w:jc w:val="both"/>
        <w:rPr>
          <w:rFonts w:ascii="Century Schoolbook" w:hAnsi="Century Schoolbook"/>
          <w:b/>
          <w:color w:val="auto"/>
        </w:rPr>
      </w:pPr>
      <w:r w:rsidRPr="00573FA5">
        <w:rPr>
          <w:rFonts w:ascii="Century Schoolbook" w:hAnsi="Century Schoolbook"/>
          <w:b/>
          <w:smallCaps/>
          <w:color w:val="auto"/>
        </w:rPr>
        <w:t>MDL Standard 13</w:t>
      </w:r>
      <w:r w:rsidRPr="00573FA5">
        <w:rPr>
          <w:rFonts w:ascii="Century Schoolbook" w:hAnsi="Century Schoolbook"/>
          <w:b/>
          <w:color w:val="auto"/>
        </w:rPr>
        <w:t xml:space="preserve">: </w:t>
      </w:r>
      <w:r w:rsidRPr="00573FA5">
        <w:rPr>
          <w:rFonts w:ascii="Century Schoolbook" w:hAnsi="Century Schoolbook"/>
          <w:color w:val="auto"/>
        </w:rPr>
        <w:t xml:space="preserve">If the parties indicate a willingness to negotiate settlement, the MDL judge should facilitate negotiations, but </w:t>
      </w:r>
      <w:r>
        <w:rPr>
          <w:rFonts w:ascii="Century Schoolbook" w:hAnsi="Century Schoolbook"/>
          <w:color w:val="auto"/>
        </w:rPr>
        <w:t xml:space="preserve">judges should </w:t>
      </w:r>
      <w:r w:rsidRPr="00573FA5">
        <w:rPr>
          <w:rFonts w:ascii="Century Schoolbook" w:hAnsi="Century Schoolbook"/>
          <w:color w:val="auto"/>
        </w:rPr>
        <w:t>not impose settlement negotiations on unwilling parties.</w:t>
      </w:r>
      <w:r>
        <w:rPr>
          <w:rStyle w:val="FootnoteReference"/>
          <w:rFonts w:ascii="Century Schoolbook" w:hAnsi="Century Schoolbook"/>
          <w:color w:val="auto"/>
        </w:rPr>
        <w:footnoteReference w:id="44"/>
      </w:r>
      <w:r w:rsidRPr="00573FA5">
        <w:rPr>
          <w:rFonts w:ascii="Century Schoolbook" w:hAnsi="Century Schoolbook"/>
          <w:b/>
          <w:color w:val="auto"/>
        </w:rPr>
        <w:t xml:space="preserve"> </w:t>
      </w:r>
    </w:p>
    <w:p w:rsidR="00610156" w:rsidRPr="00573FA5" w:rsidRDefault="00610156" w:rsidP="00610156">
      <w:pPr>
        <w:pStyle w:val="Default"/>
        <w:contextualSpacing/>
        <w:rPr>
          <w:rFonts w:ascii="Century Schoolbook" w:hAnsi="Century Schoolbook"/>
          <w:color w:val="auto"/>
        </w:rPr>
      </w:pPr>
    </w:p>
    <w:p w:rsidR="00610156" w:rsidRPr="00573FA5" w:rsidRDefault="00CA3C6F" w:rsidP="00610156">
      <w:pPr>
        <w:tabs>
          <w:tab w:val="left" w:pos="4320"/>
        </w:tabs>
        <w:ind w:firstLine="720"/>
        <w:contextualSpacing/>
        <w:rPr>
          <w:rFonts w:ascii="Century Schoolbook" w:hAnsi="Century Schoolbook"/>
          <w:sz w:val="24"/>
          <w:szCs w:val="24"/>
        </w:rPr>
      </w:pPr>
      <w:r w:rsidRPr="00573FA5">
        <w:rPr>
          <w:rFonts w:ascii="Century Schoolbook" w:hAnsi="Century Schoolbook"/>
          <w:sz w:val="24"/>
          <w:szCs w:val="24"/>
        </w:rPr>
        <w:t>The transferee judge “must guard against the temptation to become an advocate — either in favor of the settlement because of a desire to conclude the litigation, or against the settlement because of the responsibility to protect the rights of those not party to it.”</w:t>
      </w:r>
      <w:r>
        <w:rPr>
          <w:rStyle w:val="FootnoteReference"/>
          <w:rFonts w:ascii="Century Schoolbook" w:hAnsi="Century Schoolbook"/>
          <w:sz w:val="24"/>
          <w:szCs w:val="24"/>
        </w:rPr>
        <w:footnoteReference w:id="45"/>
      </w:r>
      <w:r w:rsidRPr="00573FA5">
        <w:rPr>
          <w:rFonts w:ascii="Century Schoolbook" w:hAnsi="Century Schoolbook"/>
          <w:sz w:val="24"/>
          <w:szCs w:val="24"/>
        </w:rPr>
        <w:t xml:space="preserve"> A transferee judge should facilitate settlement negotiations as soon as the parties indicate a willingness to settle unless the judge determines the request is frivolous or intended for dilatory purposes. </w:t>
      </w:r>
    </w:p>
    <w:p w:rsidR="00610156" w:rsidRPr="00573FA5" w:rsidRDefault="00610156" w:rsidP="00610156">
      <w:pPr>
        <w:tabs>
          <w:tab w:val="left" w:pos="4320"/>
        </w:tabs>
        <w:ind w:firstLine="720"/>
        <w:contextualSpacing/>
        <w:rPr>
          <w:rFonts w:ascii="Century Schoolbook" w:hAnsi="Century Schoolbook"/>
          <w:sz w:val="24"/>
          <w:szCs w:val="24"/>
        </w:rPr>
      </w:pPr>
    </w:p>
    <w:p w:rsidR="00610156" w:rsidRPr="00573FA5" w:rsidRDefault="00CA3C6F" w:rsidP="00610156">
      <w:pPr>
        <w:ind w:left="720" w:right="720"/>
        <w:contextualSpacing/>
        <w:jc w:val="both"/>
        <w:rPr>
          <w:rFonts w:ascii="Century Schoolbook" w:hAnsi="Century Schoolbook"/>
          <w:sz w:val="24"/>
          <w:szCs w:val="24"/>
        </w:rPr>
      </w:pPr>
      <w:r w:rsidRPr="00573FA5">
        <w:rPr>
          <w:rFonts w:ascii="Century Schoolbook" w:hAnsi="Century Schoolbook"/>
          <w:smallCaps/>
          <w:sz w:val="24"/>
          <w:szCs w:val="24"/>
        </w:rPr>
        <w:t>Best Practice 13A</w:t>
      </w:r>
      <w:r w:rsidRPr="00573FA5">
        <w:rPr>
          <w:rFonts w:ascii="Century Schoolbook" w:hAnsi="Century Schoolbook"/>
          <w:sz w:val="24"/>
          <w:szCs w:val="24"/>
        </w:rPr>
        <w:t>: If the parties have indicated a willingness to begin settlement negotiations, a settlement master can play a valuable role at the appropriate stage.</w:t>
      </w:r>
    </w:p>
    <w:p w:rsidR="00610156" w:rsidRPr="00573FA5" w:rsidRDefault="00610156" w:rsidP="00610156">
      <w:pPr>
        <w:contextualSpacing/>
        <w:rPr>
          <w:rFonts w:ascii="Century Schoolbook" w:hAnsi="Century Schoolbook"/>
          <w:sz w:val="24"/>
          <w:szCs w:val="24"/>
        </w:rPr>
      </w:pPr>
    </w:p>
    <w:p w:rsidR="00610156" w:rsidRPr="00573FA5" w:rsidRDefault="00CA3C6F" w:rsidP="00610156">
      <w:pPr>
        <w:ind w:firstLine="720"/>
        <w:contextualSpacing/>
        <w:rPr>
          <w:rFonts w:ascii="Century Schoolbook" w:hAnsi="Century Schoolbook"/>
          <w:sz w:val="24"/>
          <w:szCs w:val="24"/>
        </w:rPr>
      </w:pPr>
      <w:r w:rsidRPr="00573FA5">
        <w:rPr>
          <w:rFonts w:ascii="Century Schoolbook" w:hAnsi="Century Schoolbook"/>
          <w:sz w:val="24"/>
          <w:szCs w:val="24"/>
        </w:rPr>
        <w:t xml:space="preserve">A settlement master can serve as an effective liaison between the parties and the court in helping the court to understand the full complexion of the plaintiffs’ claims, how they may break down among injury categories, and other key factors that differentiate them; what issues in litigation may need to be addressed and rulings entered, such as </w:t>
      </w:r>
      <w:r>
        <w:rPr>
          <w:rFonts w:ascii="Century Schoolbook" w:hAnsi="Century Schoolbook"/>
          <w:sz w:val="24"/>
          <w:szCs w:val="24"/>
        </w:rPr>
        <w:t xml:space="preserve">preemption or the </w:t>
      </w:r>
      <w:r w:rsidRPr="00573FA5">
        <w:rPr>
          <w:rFonts w:ascii="Century Schoolbook" w:hAnsi="Century Schoolbook"/>
          <w:sz w:val="24"/>
          <w:szCs w:val="24"/>
        </w:rPr>
        <w:t xml:space="preserve">statute of limitations issues, which </w:t>
      </w:r>
      <w:r>
        <w:rPr>
          <w:rFonts w:ascii="Century Schoolbook" w:hAnsi="Century Schoolbook"/>
          <w:sz w:val="24"/>
          <w:szCs w:val="24"/>
        </w:rPr>
        <w:t>will</w:t>
      </w:r>
      <w:r w:rsidRPr="00573FA5">
        <w:rPr>
          <w:rFonts w:ascii="Century Schoolbook" w:hAnsi="Century Schoolbook"/>
          <w:sz w:val="24"/>
          <w:szCs w:val="24"/>
        </w:rPr>
        <w:t xml:space="preserve"> impact a defendant’s settlement</w:t>
      </w:r>
      <w:r>
        <w:rPr>
          <w:rFonts w:ascii="Century Schoolbook" w:hAnsi="Century Schoolbook"/>
          <w:sz w:val="24"/>
          <w:szCs w:val="24"/>
        </w:rPr>
        <w:t xml:space="preserve"> posture</w:t>
      </w:r>
      <w:r w:rsidRPr="00573FA5">
        <w:rPr>
          <w:rFonts w:ascii="Century Schoolbook" w:hAnsi="Century Schoolbook"/>
          <w:sz w:val="24"/>
          <w:szCs w:val="24"/>
        </w:rPr>
        <w:t xml:space="preserve">; and whether a </w:t>
      </w:r>
      <w:r w:rsidRPr="00573FA5">
        <w:rPr>
          <w:rFonts w:ascii="Century Schoolbook" w:hAnsi="Century Schoolbook"/>
          <w:i/>
          <w:sz w:val="24"/>
          <w:szCs w:val="24"/>
        </w:rPr>
        <w:t>Lone Pine</w:t>
      </w:r>
      <w:r w:rsidRPr="00573FA5">
        <w:rPr>
          <w:rFonts w:ascii="Century Schoolbook" w:hAnsi="Century Schoolbook"/>
          <w:sz w:val="24"/>
          <w:szCs w:val="24"/>
        </w:rPr>
        <w:t xml:space="preserve"> order is needed for the parties to have meaningful settlement discussions.</w:t>
      </w:r>
    </w:p>
    <w:p w:rsidR="00610156" w:rsidRPr="00573FA5" w:rsidRDefault="00610156" w:rsidP="00610156">
      <w:pPr>
        <w:ind w:firstLine="720"/>
        <w:contextualSpacing/>
        <w:rPr>
          <w:rFonts w:ascii="Century Schoolbook" w:hAnsi="Century Schoolbook"/>
          <w:sz w:val="24"/>
          <w:szCs w:val="24"/>
        </w:rPr>
      </w:pPr>
    </w:p>
    <w:p w:rsidR="00610156" w:rsidRDefault="00CA3C6F" w:rsidP="00610156">
      <w:pPr>
        <w:ind w:firstLine="720"/>
        <w:contextualSpacing/>
        <w:rPr>
          <w:rFonts w:ascii="Century Schoolbook" w:hAnsi="Century Schoolbook"/>
          <w:sz w:val="24"/>
          <w:szCs w:val="24"/>
        </w:rPr>
      </w:pPr>
      <w:r w:rsidRPr="00573FA5">
        <w:rPr>
          <w:rFonts w:ascii="Century Schoolbook" w:hAnsi="Century Schoolbook"/>
          <w:sz w:val="24"/>
          <w:szCs w:val="24"/>
        </w:rPr>
        <w:t xml:space="preserve">A settlement master can facilitate communication between the parties and </w:t>
      </w:r>
      <w:r>
        <w:rPr>
          <w:rFonts w:ascii="Century Schoolbook" w:hAnsi="Century Schoolbook"/>
          <w:sz w:val="24"/>
          <w:szCs w:val="24"/>
        </w:rPr>
        <w:t>reduce</w:t>
      </w:r>
      <w:r w:rsidRPr="00573FA5">
        <w:rPr>
          <w:rFonts w:ascii="Century Schoolbook" w:hAnsi="Century Schoolbook"/>
          <w:sz w:val="24"/>
          <w:szCs w:val="24"/>
        </w:rPr>
        <w:t xml:space="preserve"> barriers that could </w:t>
      </w:r>
      <w:r>
        <w:rPr>
          <w:rFonts w:ascii="Century Schoolbook" w:hAnsi="Century Schoolbook"/>
          <w:sz w:val="24"/>
          <w:szCs w:val="24"/>
        </w:rPr>
        <w:t xml:space="preserve">impede </w:t>
      </w:r>
      <w:r w:rsidRPr="00573FA5">
        <w:rPr>
          <w:rFonts w:ascii="Century Schoolbook" w:hAnsi="Century Schoolbook"/>
          <w:sz w:val="24"/>
          <w:szCs w:val="24"/>
        </w:rPr>
        <w:t xml:space="preserve">unsupervised discussions. </w:t>
      </w:r>
      <w:r>
        <w:rPr>
          <w:rFonts w:ascii="Century Schoolbook" w:hAnsi="Century Schoolbook"/>
          <w:sz w:val="24"/>
          <w:szCs w:val="24"/>
        </w:rPr>
        <w:t>A</w:t>
      </w:r>
      <w:r w:rsidRPr="00573FA5">
        <w:rPr>
          <w:rFonts w:ascii="Century Schoolbook" w:hAnsi="Century Schoolbook"/>
          <w:sz w:val="24"/>
          <w:szCs w:val="24"/>
        </w:rPr>
        <w:t xml:space="preserve"> settlement master may </w:t>
      </w:r>
      <w:r>
        <w:rPr>
          <w:rFonts w:ascii="Century Schoolbook" w:hAnsi="Century Schoolbook"/>
          <w:sz w:val="24"/>
          <w:szCs w:val="24"/>
        </w:rPr>
        <w:t xml:space="preserve">ultimately </w:t>
      </w:r>
      <w:r w:rsidRPr="00573FA5">
        <w:rPr>
          <w:rFonts w:ascii="Century Schoolbook" w:hAnsi="Century Schoolbook"/>
          <w:sz w:val="24"/>
          <w:szCs w:val="24"/>
        </w:rPr>
        <w:t>guid</w:t>
      </w:r>
      <w:r>
        <w:rPr>
          <w:rFonts w:ascii="Century Schoolbook" w:hAnsi="Century Schoolbook"/>
          <w:sz w:val="24"/>
          <w:szCs w:val="24"/>
        </w:rPr>
        <w:t>e</w:t>
      </w:r>
      <w:r w:rsidRPr="00573FA5">
        <w:rPr>
          <w:rFonts w:ascii="Century Schoolbook" w:hAnsi="Century Schoolbook"/>
          <w:sz w:val="24"/>
          <w:szCs w:val="24"/>
        </w:rPr>
        <w:t xml:space="preserve"> both the court and the parties along a path lead</w:t>
      </w:r>
      <w:r>
        <w:rPr>
          <w:rFonts w:ascii="Century Schoolbook" w:hAnsi="Century Schoolbook"/>
          <w:sz w:val="24"/>
          <w:szCs w:val="24"/>
        </w:rPr>
        <w:t>ing</w:t>
      </w:r>
      <w:r w:rsidRPr="00573FA5">
        <w:rPr>
          <w:rFonts w:ascii="Century Schoolbook" w:hAnsi="Century Schoolbook"/>
          <w:sz w:val="24"/>
          <w:szCs w:val="24"/>
        </w:rPr>
        <w:t xml:space="preserve"> toward settlement. </w:t>
      </w:r>
    </w:p>
    <w:p w:rsidR="00F2448D" w:rsidRDefault="00F2448D" w:rsidP="00610156">
      <w:pPr>
        <w:ind w:firstLine="720"/>
        <w:contextualSpacing/>
        <w:rPr>
          <w:rFonts w:ascii="Century Schoolbook" w:hAnsi="Century Schoolbook"/>
          <w:sz w:val="24"/>
          <w:szCs w:val="24"/>
        </w:rPr>
      </w:pPr>
    </w:p>
    <w:p w:rsidR="00F2448D" w:rsidRDefault="00F2448D" w:rsidP="00610156">
      <w:pPr>
        <w:ind w:firstLine="720"/>
        <w:contextualSpacing/>
        <w:rPr>
          <w:rFonts w:ascii="Century Schoolbook" w:hAnsi="Century Schoolbook"/>
          <w:sz w:val="24"/>
          <w:szCs w:val="24"/>
        </w:rPr>
      </w:pPr>
    </w:p>
    <w:p w:rsidR="00F2448D" w:rsidRPr="00573FA5" w:rsidRDefault="00F2448D" w:rsidP="00610156">
      <w:pPr>
        <w:ind w:firstLine="720"/>
        <w:contextualSpacing/>
        <w:rPr>
          <w:rFonts w:ascii="Century Schoolbook" w:hAnsi="Century Schoolbook"/>
          <w:sz w:val="24"/>
          <w:szCs w:val="24"/>
        </w:rPr>
      </w:pPr>
    </w:p>
    <w:p w:rsidR="00610156" w:rsidRDefault="00610156" w:rsidP="00610156">
      <w:pPr>
        <w:ind w:firstLine="720"/>
        <w:contextualSpacing/>
        <w:rPr>
          <w:rFonts w:ascii="Century Schoolbook" w:hAnsi="Century Schoolbook"/>
          <w:sz w:val="24"/>
          <w:szCs w:val="24"/>
        </w:rPr>
      </w:pPr>
    </w:p>
    <w:p w:rsidR="00610156" w:rsidRPr="00573FA5" w:rsidRDefault="00CA3C6F" w:rsidP="00610156">
      <w:pPr>
        <w:pStyle w:val="Default"/>
        <w:ind w:left="720" w:right="720"/>
        <w:contextualSpacing/>
        <w:jc w:val="both"/>
        <w:rPr>
          <w:rFonts w:ascii="Century Schoolbook" w:hAnsi="Century Schoolbook"/>
          <w:color w:val="auto"/>
        </w:rPr>
      </w:pPr>
      <w:r w:rsidRPr="00573FA5">
        <w:rPr>
          <w:rFonts w:ascii="Century Schoolbook" w:hAnsi="Century Schoolbook"/>
          <w:smallCaps/>
          <w:color w:val="auto"/>
        </w:rPr>
        <w:lastRenderedPageBreak/>
        <w:t>Best Practice 13B</w:t>
      </w:r>
      <w:r w:rsidRPr="00573FA5">
        <w:rPr>
          <w:rFonts w:ascii="Century Schoolbook" w:hAnsi="Century Schoolbook"/>
          <w:color w:val="auto"/>
        </w:rPr>
        <w:t xml:space="preserve">: The parties should consider </w:t>
      </w:r>
      <w:r>
        <w:rPr>
          <w:rFonts w:ascii="Century Schoolbook" w:hAnsi="Century Schoolbook"/>
          <w:color w:val="auto"/>
        </w:rPr>
        <w:t xml:space="preserve">appointment of </w:t>
      </w:r>
      <w:r w:rsidRPr="00573FA5">
        <w:rPr>
          <w:rFonts w:ascii="Century Schoolbook" w:hAnsi="Century Schoolbook"/>
          <w:color w:val="auto"/>
        </w:rPr>
        <w:t xml:space="preserve">a settlement master as soon as they are willing to begin settlement negotiations. </w:t>
      </w:r>
    </w:p>
    <w:p w:rsidR="00610156" w:rsidRPr="00573FA5" w:rsidRDefault="00610156" w:rsidP="00610156">
      <w:pPr>
        <w:pStyle w:val="Default"/>
        <w:ind w:left="720" w:right="720"/>
        <w:contextualSpacing/>
        <w:rPr>
          <w:rFonts w:ascii="Century Schoolbook" w:hAnsi="Century Schoolbook"/>
          <w:color w:val="auto"/>
        </w:rPr>
      </w:pPr>
    </w:p>
    <w:p w:rsidR="00610156" w:rsidRPr="00573FA5" w:rsidRDefault="00CA3C6F" w:rsidP="00610156">
      <w:pPr>
        <w:pStyle w:val="Default"/>
        <w:ind w:firstLine="720"/>
        <w:contextualSpacing/>
        <w:rPr>
          <w:rFonts w:ascii="Century Schoolbook" w:hAnsi="Century Schoolbook"/>
          <w:color w:val="auto"/>
        </w:rPr>
      </w:pPr>
      <w:r>
        <w:rPr>
          <w:rFonts w:ascii="Century Schoolbook" w:hAnsi="Century Schoolbook"/>
          <w:color w:val="auto"/>
        </w:rPr>
        <w:t>Once</w:t>
      </w:r>
      <w:r w:rsidRPr="00573FA5">
        <w:rPr>
          <w:rFonts w:ascii="Century Schoolbook" w:hAnsi="Century Schoolbook"/>
          <w:color w:val="auto"/>
        </w:rPr>
        <w:t xml:space="preserve"> the parties are willing to begin settlement negotiations, they should consider recommending one or more settlement masters to the court. </w:t>
      </w:r>
      <w:r>
        <w:rPr>
          <w:rFonts w:ascii="Century Schoolbook" w:hAnsi="Century Schoolbook"/>
          <w:color w:val="auto"/>
        </w:rPr>
        <w:t>T</w:t>
      </w:r>
      <w:r w:rsidRPr="00573FA5">
        <w:rPr>
          <w:rFonts w:ascii="Century Schoolbook" w:hAnsi="Century Schoolbook"/>
          <w:color w:val="auto"/>
        </w:rPr>
        <w:t xml:space="preserve">iming </w:t>
      </w:r>
      <w:r>
        <w:rPr>
          <w:rFonts w:ascii="Century Schoolbook" w:hAnsi="Century Schoolbook"/>
          <w:color w:val="auto"/>
        </w:rPr>
        <w:t xml:space="preserve">will </w:t>
      </w:r>
      <w:r w:rsidRPr="00573FA5">
        <w:rPr>
          <w:rFonts w:ascii="Century Schoolbook" w:hAnsi="Century Schoolbook"/>
          <w:color w:val="auto"/>
        </w:rPr>
        <w:t xml:space="preserve">depend on the circumstances, but as a general matter, prior to a settlement master’s appointment, </w:t>
      </w:r>
      <w:r>
        <w:rPr>
          <w:rFonts w:ascii="Century Schoolbook" w:hAnsi="Century Schoolbook"/>
          <w:color w:val="auto"/>
        </w:rPr>
        <w:t xml:space="preserve">major </w:t>
      </w:r>
      <w:r w:rsidRPr="00573FA5">
        <w:rPr>
          <w:rFonts w:ascii="Century Schoolbook" w:hAnsi="Century Schoolbook"/>
          <w:color w:val="auto"/>
        </w:rPr>
        <w:t xml:space="preserve">preliminary </w:t>
      </w:r>
      <w:r>
        <w:rPr>
          <w:rFonts w:ascii="Century Schoolbook" w:hAnsi="Century Schoolbook"/>
          <w:color w:val="auto"/>
        </w:rPr>
        <w:t xml:space="preserve">legal </w:t>
      </w:r>
      <w:r w:rsidRPr="00573FA5">
        <w:rPr>
          <w:rFonts w:ascii="Century Schoolbook" w:hAnsi="Century Schoolbook"/>
          <w:color w:val="auto"/>
        </w:rPr>
        <w:t>challenges (preemption</w:t>
      </w:r>
      <w:r>
        <w:rPr>
          <w:rFonts w:ascii="Century Schoolbook" w:hAnsi="Century Schoolbook"/>
          <w:color w:val="auto"/>
        </w:rPr>
        <w:t xml:space="preserve">, </w:t>
      </w:r>
      <w:r w:rsidRPr="00610156">
        <w:rPr>
          <w:rFonts w:ascii="Century Schoolbook" w:hAnsi="Century Schoolbook"/>
          <w:i/>
          <w:color w:val="auto"/>
        </w:rPr>
        <w:t>Daubert</w:t>
      </w:r>
      <w:r>
        <w:rPr>
          <w:rFonts w:ascii="Century Schoolbook" w:hAnsi="Century Schoolbook"/>
          <w:color w:val="auto"/>
        </w:rPr>
        <w:t>, and the like</w:t>
      </w:r>
      <w:r w:rsidRPr="00573FA5">
        <w:rPr>
          <w:rFonts w:ascii="Century Schoolbook" w:hAnsi="Century Schoolbook"/>
          <w:color w:val="auto"/>
        </w:rPr>
        <w:t>) will have been addressed</w:t>
      </w:r>
      <w:r>
        <w:rPr>
          <w:rFonts w:ascii="Century Schoolbook" w:hAnsi="Century Schoolbook"/>
          <w:color w:val="auto"/>
        </w:rPr>
        <w:t>,</w:t>
      </w:r>
      <w:r w:rsidRPr="00573FA5">
        <w:rPr>
          <w:rFonts w:ascii="Century Schoolbook" w:hAnsi="Century Schoolbook"/>
          <w:color w:val="auto"/>
        </w:rPr>
        <w:t xml:space="preserve"> and liability discovery of the defendant, general causation, and expert discovery will have largely been completed. </w:t>
      </w:r>
      <w:r>
        <w:rPr>
          <w:rFonts w:ascii="Century Schoolbook" w:hAnsi="Century Schoolbook"/>
          <w:color w:val="auto"/>
        </w:rPr>
        <w:t>D</w:t>
      </w:r>
      <w:r w:rsidRPr="00573FA5">
        <w:rPr>
          <w:rFonts w:ascii="Century Schoolbook" w:hAnsi="Century Schoolbook"/>
          <w:color w:val="auto"/>
        </w:rPr>
        <w:t xml:space="preserve">efendants </w:t>
      </w:r>
      <w:r>
        <w:rPr>
          <w:rFonts w:ascii="Century Schoolbook" w:hAnsi="Century Schoolbook"/>
          <w:color w:val="auto"/>
        </w:rPr>
        <w:t xml:space="preserve">cannot be expected to consider settlement seriously without </w:t>
      </w:r>
      <w:r w:rsidRPr="00573FA5">
        <w:rPr>
          <w:rFonts w:ascii="Century Schoolbook" w:hAnsi="Century Schoolbook"/>
          <w:color w:val="auto"/>
        </w:rPr>
        <w:t>meaningful case-specific discovery from plaintiffs, such as from PFSs, production of medical records, and other methods of exploring plaintiffs’ individual claims</w:t>
      </w:r>
      <w:r>
        <w:rPr>
          <w:rFonts w:ascii="Century Schoolbook" w:hAnsi="Century Schoolbook"/>
          <w:color w:val="auto"/>
        </w:rPr>
        <w:t xml:space="preserve">. Often, defendants will require </w:t>
      </w:r>
      <w:r w:rsidRPr="00573FA5">
        <w:rPr>
          <w:rFonts w:ascii="Century Schoolbook" w:hAnsi="Century Schoolbook"/>
          <w:color w:val="auto"/>
        </w:rPr>
        <w:t xml:space="preserve">an opportunity to </w:t>
      </w:r>
      <w:r>
        <w:rPr>
          <w:rFonts w:ascii="Century Schoolbook" w:hAnsi="Century Schoolbook"/>
          <w:color w:val="auto"/>
        </w:rPr>
        <w:t>raise individual dispositive motions based on such evidence</w:t>
      </w:r>
      <w:r w:rsidRPr="00573FA5">
        <w:rPr>
          <w:rFonts w:ascii="Century Schoolbook" w:hAnsi="Century Schoolbook"/>
          <w:color w:val="auto"/>
        </w:rPr>
        <w:t>.</w:t>
      </w:r>
    </w:p>
    <w:p w:rsidR="00610156" w:rsidRPr="00573FA5" w:rsidRDefault="00610156" w:rsidP="00610156">
      <w:pPr>
        <w:pStyle w:val="Default"/>
        <w:ind w:firstLine="720"/>
        <w:contextualSpacing/>
        <w:rPr>
          <w:rFonts w:ascii="Century Schoolbook" w:hAnsi="Century Schoolbook"/>
          <w:color w:val="auto"/>
        </w:rPr>
      </w:pPr>
    </w:p>
    <w:p w:rsidR="00610156" w:rsidRPr="00573FA5" w:rsidRDefault="00CA3C6F" w:rsidP="00610156">
      <w:pPr>
        <w:pStyle w:val="Default"/>
        <w:ind w:firstLine="720"/>
        <w:contextualSpacing/>
        <w:rPr>
          <w:rFonts w:ascii="Century Schoolbook" w:hAnsi="Century Schoolbook"/>
        </w:rPr>
      </w:pPr>
      <w:r>
        <w:rPr>
          <w:rFonts w:ascii="Century Schoolbook" w:hAnsi="Century Schoolbook"/>
          <w:color w:val="auto"/>
        </w:rPr>
        <w:t>Prompt</w:t>
      </w:r>
      <w:r w:rsidRPr="00573FA5">
        <w:rPr>
          <w:rFonts w:ascii="Century Schoolbook" w:hAnsi="Century Schoolbook"/>
          <w:color w:val="auto"/>
        </w:rPr>
        <w:t xml:space="preserve"> appointment of a settlement master when parties are willing to negotiate </w:t>
      </w:r>
      <w:r>
        <w:rPr>
          <w:rFonts w:ascii="Century Schoolbook" w:hAnsi="Century Schoolbook"/>
          <w:color w:val="auto"/>
        </w:rPr>
        <w:t>should be the norm</w:t>
      </w:r>
      <w:r w:rsidRPr="00573FA5">
        <w:rPr>
          <w:rFonts w:ascii="Century Schoolbook" w:hAnsi="Century Schoolbook"/>
          <w:color w:val="auto"/>
        </w:rPr>
        <w:t xml:space="preserve">. </w:t>
      </w:r>
      <w:r w:rsidRPr="00573FA5">
        <w:rPr>
          <w:rFonts w:ascii="Century Schoolbook" w:hAnsi="Century Schoolbook"/>
        </w:rPr>
        <w:t xml:space="preserve">In appropriate circumstances, settlement masters can be appointed </w:t>
      </w:r>
      <w:r>
        <w:rPr>
          <w:rFonts w:ascii="Century Schoolbook" w:hAnsi="Century Schoolbook"/>
        </w:rPr>
        <w:t>from</w:t>
      </w:r>
      <w:r w:rsidRPr="00573FA5">
        <w:rPr>
          <w:rFonts w:ascii="Century Schoolbook" w:hAnsi="Century Schoolbook"/>
        </w:rPr>
        <w:t xml:space="preserve"> </w:t>
      </w:r>
      <w:r>
        <w:rPr>
          <w:rFonts w:ascii="Century Schoolbook" w:hAnsi="Century Schoolbook"/>
        </w:rPr>
        <w:t xml:space="preserve">an MDL’s </w:t>
      </w:r>
      <w:r w:rsidRPr="00573FA5">
        <w:rPr>
          <w:rFonts w:ascii="Century Schoolbook" w:hAnsi="Century Schoolbook"/>
        </w:rPr>
        <w:t>outset, such as when the MDL is dealing with an ongoing violation and injunctive relief is sought.</w:t>
      </w:r>
      <w:r w:rsidR="00404174">
        <w:rPr>
          <w:rFonts w:ascii="Century Schoolbook" w:hAnsi="Century Schoolbook"/>
        </w:rPr>
        <w:t xml:space="preserve">  </w:t>
      </w:r>
      <w:r>
        <w:rPr>
          <w:rFonts w:ascii="Century Schoolbook" w:hAnsi="Century Schoolbook"/>
        </w:rPr>
        <w:t>E</w:t>
      </w:r>
      <w:r w:rsidRPr="00573FA5">
        <w:rPr>
          <w:rFonts w:ascii="Century Schoolbook" w:hAnsi="Century Schoolbook"/>
        </w:rPr>
        <w:t xml:space="preserve">arly appointment can </w:t>
      </w:r>
      <w:r>
        <w:rPr>
          <w:rFonts w:ascii="Century Schoolbook" w:hAnsi="Century Schoolbook"/>
        </w:rPr>
        <w:t xml:space="preserve">result in </w:t>
      </w:r>
      <w:r w:rsidRPr="00573FA5">
        <w:rPr>
          <w:rFonts w:ascii="Century Schoolbook" w:hAnsi="Century Schoolbook"/>
        </w:rPr>
        <w:t>the parties agree</w:t>
      </w:r>
      <w:r>
        <w:rPr>
          <w:rFonts w:ascii="Century Schoolbook" w:hAnsi="Century Schoolbook"/>
        </w:rPr>
        <w:t>ing</w:t>
      </w:r>
      <w:r w:rsidRPr="00573FA5">
        <w:rPr>
          <w:rFonts w:ascii="Century Schoolbook" w:hAnsi="Century Schoolbook"/>
        </w:rPr>
        <w:t xml:space="preserve"> on the settlement master</w:t>
      </w:r>
      <w:r>
        <w:rPr>
          <w:rFonts w:ascii="Century Schoolbook" w:hAnsi="Century Schoolbook"/>
        </w:rPr>
        <w:t>,</w:t>
      </w:r>
      <w:r w:rsidRPr="00573FA5">
        <w:rPr>
          <w:rFonts w:ascii="Century Schoolbook" w:hAnsi="Century Schoolbook"/>
        </w:rPr>
        <w:t xml:space="preserve"> rather than </w:t>
      </w:r>
      <w:r>
        <w:rPr>
          <w:rFonts w:ascii="Century Schoolbook" w:hAnsi="Century Schoolbook"/>
        </w:rPr>
        <w:t xml:space="preserve">taking up time </w:t>
      </w:r>
      <w:r w:rsidRPr="00573FA5">
        <w:rPr>
          <w:rFonts w:ascii="Century Schoolbook" w:hAnsi="Century Schoolbook"/>
        </w:rPr>
        <w:t xml:space="preserve">later. </w:t>
      </w:r>
    </w:p>
    <w:p w:rsidR="00610156" w:rsidRPr="00573FA5" w:rsidRDefault="00610156" w:rsidP="00610156">
      <w:pPr>
        <w:pStyle w:val="Default"/>
        <w:ind w:firstLine="720"/>
        <w:contextualSpacing/>
        <w:rPr>
          <w:rFonts w:ascii="Century Schoolbook" w:hAnsi="Century Schoolbook"/>
        </w:rPr>
      </w:pPr>
    </w:p>
    <w:p w:rsidR="00610156" w:rsidRPr="00573FA5" w:rsidRDefault="00CA3C6F" w:rsidP="00610156">
      <w:pPr>
        <w:ind w:firstLine="720"/>
        <w:contextualSpacing/>
        <w:rPr>
          <w:rFonts w:ascii="Century Schoolbook" w:hAnsi="Century Schoolbook"/>
          <w:sz w:val="24"/>
          <w:szCs w:val="24"/>
        </w:rPr>
      </w:pPr>
      <w:r w:rsidRPr="00573FA5">
        <w:rPr>
          <w:rFonts w:ascii="Century Schoolbook" w:hAnsi="Century Schoolbook"/>
          <w:sz w:val="24"/>
          <w:szCs w:val="24"/>
        </w:rPr>
        <w:t xml:space="preserve">Appointment of a settlement master should be a collaborative process </w:t>
      </w:r>
      <w:r>
        <w:rPr>
          <w:rFonts w:ascii="Century Schoolbook" w:hAnsi="Century Schoolbook"/>
          <w:sz w:val="24"/>
          <w:szCs w:val="24"/>
        </w:rPr>
        <w:t>between</w:t>
      </w:r>
      <w:r w:rsidRPr="00573FA5">
        <w:rPr>
          <w:rFonts w:ascii="Century Schoolbook" w:hAnsi="Century Schoolbook"/>
          <w:sz w:val="24"/>
          <w:szCs w:val="24"/>
        </w:rPr>
        <w:t xml:space="preserve"> the court and the parties</w:t>
      </w:r>
      <w:r>
        <w:rPr>
          <w:rFonts w:ascii="Century Schoolbook" w:hAnsi="Century Schoolbook"/>
          <w:sz w:val="24"/>
          <w:szCs w:val="24"/>
        </w:rPr>
        <w:t>,</w:t>
      </w:r>
      <w:r w:rsidRPr="00573FA5">
        <w:rPr>
          <w:rFonts w:ascii="Century Schoolbook" w:hAnsi="Century Schoolbook"/>
          <w:sz w:val="24"/>
          <w:szCs w:val="24"/>
        </w:rPr>
        <w:t xml:space="preserve"> where each may suggest an individual to be considered by the others. Ultimately, however, the court selects the settlement master. The court should afford the parties an opportunity to request </w:t>
      </w:r>
      <w:r>
        <w:rPr>
          <w:rFonts w:ascii="Century Schoolbook" w:hAnsi="Century Schoolbook"/>
          <w:sz w:val="24"/>
          <w:szCs w:val="24"/>
        </w:rPr>
        <w:t xml:space="preserve">rescission of a </w:t>
      </w:r>
      <w:r w:rsidRPr="00573FA5">
        <w:rPr>
          <w:rFonts w:ascii="Century Schoolbook" w:hAnsi="Century Schoolbook"/>
          <w:sz w:val="24"/>
          <w:szCs w:val="24"/>
        </w:rPr>
        <w:t>settlement master</w:t>
      </w:r>
      <w:r>
        <w:rPr>
          <w:rFonts w:ascii="Century Schoolbook" w:hAnsi="Century Schoolbook"/>
          <w:sz w:val="24"/>
          <w:szCs w:val="24"/>
        </w:rPr>
        <w:t>’s appointment</w:t>
      </w:r>
      <w:r w:rsidRPr="00573FA5">
        <w:rPr>
          <w:rFonts w:ascii="Century Schoolbook" w:hAnsi="Century Schoolbook"/>
          <w:sz w:val="24"/>
          <w:szCs w:val="24"/>
        </w:rPr>
        <w:t xml:space="preserve"> on an appropriate showing. </w:t>
      </w:r>
    </w:p>
    <w:p w:rsidR="00610156" w:rsidRPr="00573FA5" w:rsidRDefault="00610156" w:rsidP="00610156">
      <w:pPr>
        <w:contextualSpacing/>
        <w:rPr>
          <w:rFonts w:ascii="Century Schoolbook" w:hAnsi="Century Schoolbook"/>
          <w:sz w:val="24"/>
          <w:szCs w:val="24"/>
        </w:rPr>
      </w:pPr>
    </w:p>
    <w:p w:rsidR="00610156" w:rsidRPr="00573FA5" w:rsidRDefault="00CA3C6F" w:rsidP="00610156">
      <w:pPr>
        <w:ind w:left="720" w:right="720"/>
        <w:contextualSpacing/>
        <w:jc w:val="both"/>
        <w:rPr>
          <w:rFonts w:ascii="Century Schoolbook" w:hAnsi="Century Schoolbook"/>
          <w:b/>
          <w:sz w:val="24"/>
          <w:szCs w:val="24"/>
        </w:rPr>
      </w:pPr>
      <w:r w:rsidRPr="00573FA5">
        <w:rPr>
          <w:rFonts w:ascii="Century Schoolbook" w:hAnsi="Century Schoolbook"/>
          <w:b/>
          <w:smallCaps/>
          <w:sz w:val="24"/>
          <w:szCs w:val="24"/>
        </w:rPr>
        <w:t>MDL Standard 14</w:t>
      </w:r>
      <w:r w:rsidRPr="00573FA5">
        <w:rPr>
          <w:rFonts w:ascii="Century Schoolbook" w:hAnsi="Century Schoolbook"/>
          <w:b/>
          <w:sz w:val="24"/>
          <w:szCs w:val="24"/>
        </w:rPr>
        <w:t xml:space="preserve">: </w:t>
      </w:r>
      <w:r w:rsidRPr="00573FA5">
        <w:rPr>
          <w:rFonts w:ascii="Century Schoolbook" w:hAnsi="Century Schoolbook"/>
          <w:sz w:val="24"/>
          <w:szCs w:val="24"/>
        </w:rPr>
        <w:t xml:space="preserve">The parties must advise the MDL court upon </w:t>
      </w:r>
      <w:r>
        <w:rPr>
          <w:rFonts w:ascii="Century Schoolbook" w:hAnsi="Century Schoolbook"/>
          <w:sz w:val="24"/>
          <w:szCs w:val="24"/>
        </w:rPr>
        <w:t xml:space="preserve">reaching </w:t>
      </w:r>
      <w:r w:rsidRPr="00573FA5">
        <w:rPr>
          <w:rFonts w:ascii="Century Schoolbook" w:hAnsi="Century Schoolbook"/>
          <w:sz w:val="24"/>
          <w:szCs w:val="24"/>
        </w:rPr>
        <w:t xml:space="preserve">a settlement agreement and must provide the court with information concerning the settlement, which </w:t>
      </w:r>
      <w:r>
        <w:rPr>
          <w:rFonts w:ascii="Century Schoolbook" w:hAnsi="Century Schoolbook"/>
          <w:sz w:val="24"/>
          <w:szCs w:val="24"/>
        </w:rPr>
        <w:t xml:space="preserve">information </w:t>
      </w:r>
      <w:r w:rsidRPr="00573FA5">
        <w:rPr>
          <w:rFonts w:ascii="Century Schoolbook" w:hAnsi="Century Schoolbook"/>
          <w:sz w:val="24"/>
          <w:szCs w:val="24"/>
        </w:rPr>
        <w:t>will differ based on whether the settlement is a global or inventory settlement.</w:t>
      </w:r>
    </w:p>
    <w:p w:rsidR="00610156" w:rsidRPr="00573FA5" w:rsidRDefault="00610156" w:rsidP="00610156">
      <w:pPr>
        <w:contextualSpacing/>
        <w:rPr>
          <w:rFonts w:ascii="Century Schoolbook" w:hAnsi="Century Schoolbook"/>
          <w:sz w:val="24"/>
          <w:szCs w:val="24"/>
        </w:rPr>
      </w:pPr>
    </w:p>
    <w:p w:rsidR="00610156" w:rsidRPr="00573FA5" w:rsidRDefault="00CA3C6F" w:rsidP="00610156">
      <w:pPr>
        <w:ind w:firstLine="720"/>
        <w:contextualSpacing/>
        <w:rPr>
          <w:rFonts w:ascii="Century Schoolbook" w:hAnsi="Century Schoolbook"/>
          <w:sz w:val="24"/>
          <w:szCs w:val="24"/>
        </w:rPr>
      </w:pPr>
      <w:r w:rsidRPr="00573FA5">
        <w:rPr>
          <w:rFonts w:ascii="Century Schoolbook" w:hAnsi="Century Schoolbook"/>
          <w:sz w:val="24"/>
          <w:szCs w:val="24"/>
        </w:rPr>
        <w:t xml:space="preserve">The MDL court must be advised when a settlement </w:t>
      </w:r>
      <w:r>
        <w:rPr>
          <w:rFonts w:ascii="Century Schoolbook" w:hAnsi="Century Schoolbook"/>
          <w:sz w:val="24"/>
          <w:szCs w:val="24"/>
        </w:rPr>
        <w:t xml:space="preserve">will </w:t>
      </w:r>
      <w:r w:rsidRPr="00573FA5">
        <w:rPr>
          <w:rFonts w:ascii="Century Schoolbook" w:hAnsi="Century Schoolbook"/>
          <w:sz w:val="24"/>
          <w:szCs w:val="24"/>
        </w:rPr>
        <w:t>dispos</w:t>
      </w:r>
      <w:r>
        <w:rPr>
          <w:rFonts w:ascii="Century Schoolbook" w:hAnsi="Century Schoolbook"/>
          <w:sz w:val="24"/>
          <w:szCs w:val="24"/>
        </w:rPr>
        <w:t>e</w:t>
      </w:r>
      <w:r w:rsidRPr="00573FA5">
        <w:rPr>
          <w:rFonts w:ascii="Century Schoolbook" w:hAnsi="Century Schoolbook"/>
          <w:sz w:val="24"/>
          <w:szCs w:val="24"/>
        </w:rPr>
        <w:t xml:space="preserve"> any claims before it. A settlement’s structure dictates the </w:t>
      </w:r>
      <w:r>
        <w:rPr>
          <w:rFonts w:ascii="Century Schoolbook" w:hAnsi="Century Schoolbook"/>
          <w:sz w:val="24"/>
          <w:szCs w:val="24"/>
        </w:rPr>
        <w:t xml:space="preserve">amount </w:t>
      </w:r>
      <w:r w:rsidRPr="00573FA5">
        <w:rPr>
          <w:rFonts w:ascii="Century Schoolbook" w:hAnsi="Century Schoolbook"/>
          <w:sz w:val="24"/>
          <w:szCs w:val="24"/>
        </w:rPr>
        <w:t xml:space="preserve">of information </w:t>
      </w:r>
      <w:r>
        <w:rPr>
          <w:rFonts w:ascii="Century Schoolbook" w:hAnsi="Century Schoolbook"/>
          <w:sz w:val="24"/>
          <w:szCs w:val="24"/>
        </w:rPr>
        <w:t>the court will require</w:t>
      </w:r>
      <w:r w:rsidRPr="00573FA5">
        <w:rPr>
          <w:rFonts w:ascii="Century Schoolbook" w:hAnsi="Century Schoolbook"/>
          <w:sz w:val="24"/>
          <w:szCs w:val="24"/>
        </w:rPr>
        <w:t xml:space="preserve">, because different types of settlement warrant different levels of court involvement. </w:t>
      </w:r>
      <w:r>
        <w:rPr>
          <w:rFonts w:ascii="Century Schoolbook" w:hAnsi="Century Schoolbook"/>
          <w:sz w:val="24"/>
          <w:szCs w:val="24"/>
        </w:rPr>
        <w:t xml:space="preserve">The </w:t>
      </w:r>
      <w:r w:rsidRPr="00573FA5">
        <w:rPr>
          <w:rFonts w:ascii="Century Schoolbook" w:hAnsi="Century Schoolbook"/>
          <w:sz w:val="24"/>
          <w:szCs w:val="24"/>
        </w:rPr>
        <w:t>two main types of MDL settlements</w:t>
      </w:r>
      <w:r>
        <w:rPr>
          <w:rFonts w:ascii="Century Schoolbook" w:hAnsi="Century Schoolbook"/>
          <w:sz w:val="24"/>
          <w:szCs w:val="24"/>
        </w:rPr>
        <w:t xml:space="preserve"> are </w:t>
      </w:r>
      <w:r w:rsidRPr="00573FA5">
        <w:rPr>
          <w:rFonts w:ascii="Century Schoolbook" w:hAnsi="Century Schoolbook"/>
          <w:sz w:val="24"/>
          <w:szCs w:val="24"/>
        </w:rPr>
        <w:t xml:space="preserve">“global” and “inventory” settlements. The former describes a settlement designed to resolve all cases within the scope of the MDL; the latter describes the settlement of only cases </w:t>
      </w:r>
      <w:r>
        <w:rPr>
          <w:rFonts w:ascii="Century Schoolbook" w:hAnsi="Century Schoolbook"/>
          <w:sz w:val="24"/>
          <w:szCs w:val="24"/>
        </w:rPr>
        <w:t>brought</w:t>
      </w:r>
      <w:r w:rsidRPr="00573FA5">
        <w:rPr>
          <w:rFonts w:ascii="Century Schoolbook" w:hAnsi="Century Schoolbook"/>
          <w:sz w:val="24"/>
          <w:szCs w:val="24"/>
        </w:rPr>
        <w:t xml:space="preserve"> by certain plaintiffs’ counsel.</w:t>
      </w:r>
    </w:p>
    <w:p w:rsidR="00610156" w:rsidRPr="00573FA5" w:rsidRDefault="00610156" w:rsidP="00610156">
      <w:pPr>
        <w:ind w:firstLine="720"/>
        <w:contextualSpacing/>
        <w:rPr>
          <w:rFonts w:ascii="Century Schoolbook" w:hAnsi="Century Schoolbook"/>
          <w:sz w:val="24"/>
          <w:szCs w:val="24"/>
        </w:rPr>
      </w:pPr>
    </w:p>
    <w:p w:rsidR="00610156" w:rsidRPr="00573FA5" w:rsidRDefault="00CA3C6F" w:rsidP="00610156">
      <w:pPr>
        <w:ind w:firstLine="720"/>
        <w:contextualSpacing/>
        <w:rPr>
          <w:rFonts w:ascii="Century Schoolbook" w:hAnsi="Century Schoolbook"/>
          <w:sz w:val="24"/>
          <w:szCs w:val="24"/>
        </w:rPr>
      </w:pPr>
      <w:r w:rsidRPr="00573FA5">
        <w:rPr>
          <w:rFonts w:ascii="Century Schoolbook" w:hAnsi="Century Schoolbook"/>
          <w:sz w:val="24"/>
          <w:szCs w:val="24"/>
        </w:rPr>
        <w:t xml:space="preserve">In a global settlement, agreement is reached with plaintiffs’ leadership, </w:t>
      </w:r>
      <w:r>
        <w:rPr>
          <w:rFonts w:ascii="Century Schoolbook" w:hAnsi="Century Schoolbook"/>
          <w:sz w:val="24"/>
          <w:szCs w:val="24"/>
        </w:rPr>
        <w:t>and</w:t>
      </w:r>
      <w:r w:rsidRPr="00573FA5">
        <w:rPr>
          <w:rFonts w:ascii="Century Schoolbook" w:hAnsi="Century Schoolbook"/>
          <w:sz w:val="24"/>
          <w:szCs w:val="24"/>
        </w:rPr>
        <w:t xml:space="preserve"> commonly extends to state actions and unfiled claims. Examples of global settlements include the </w:t>
      </w:r>
      <w:r w:rsidRPr="00573FA5">
        <w:rPr>
          <w:rFonts w:ascii="Century Schoolbook" w:hAnsi="Century Schoolbook"/>
          <w:i/>
          <w:sz w:val="24"/>
          <w:szCs w:val="24"/>
        </w:rPr>
        <w:t>Vioxx</w:t>
      </w:r>
      <w:r w:rsidRPr="00573FA5">
        <w:rPr>
          <w:rFonts w:ascii="Century Schoolbook" w:hAnsi="Century Schoolbook"/>
          <w:sz w:val="24"/>
          <w:szCs w:val="24"/>
        </w:rPr>
        <w:t xml:space="preserve">, </w:t>
      </w:r>
      <w:r w:rsidRPr="00573FA5">
        <w:rPr>
          <w:rFonts w:ascii="Century Schoolbook" w:hAnsi="Century Schoolbook"/>
          <w:i/>
          <w:sz w:val="24"/>
          <w:szCs w:val="24"/>
        </w:rPr>
        <w:t>Pradaxa</w:t>
      </w:r>
      <w:r w:rsidRPr="00573FA5">
        <w:rPr>
          <w:rFonts w:ascii="Century Schoolbook" w:hAnsi="Century Schoolbook"/>
          <w:sz w:val="24"/>
          <w:szCs w:val="24"/>
        </w:rPr>
        <w:t xml:space="preserve">, and </w:t>
      </w:r>
      <w:r w:rsidRPr="00573FA5">
        <w:rPr>
          <w:rFonts w:ascii="Century Schoolbook" w:hAnsi="Century Schoolbook"/>
          <w:i/>
          <w:sz w:val="24"/>
          <w:szCs w:val="24"/>
        </w:rPr>
        <w:t>Guidant</w:t>
      </w:r>
      <w:r w:rsidRPr="00573FA5">
        <w:rPr>
          <w:rFonts w:ascii="Century Schoolbook" w:hAnsi="Century Schoolbook"/>
          <w:sz w:val="24"/>
          <w:szCs w:val="24"/>
        </w:rPr>
        <w:t xml:space="preserve"> </w:t>
      </w:r>
      <w:r w:rsidR="00AF5D93" w:rsidRPr="00AF5D93">
        <w:rPr>
          <w:rFonts w:ascii="Century Schoolbook" w:hAnsi="Century Schoolbook"/>
          <w:i/>
          <w:sz w:val="24"/>
          <w:szCs w:val="24"/>
        </w:rPr>
        <w:t>Implantable Defribulators</w:t>
      </w:r>
      <w:r w:rsidR="00AF5D93">
        <w:rPr>
          <w:rFonts w:ascii="Century Schoolbook" w:hAnsi="Century Schoolbook"/>
          <w:sz w:val="24"/>
          <w:szCs w:val="24"/>
        </w:rPr>
        <w:t xml:space="preserve"> </w:t>
      </w:r>
      <w:r w:rsidRPr="00573FA5">
        <w:rPr>
          <w:rFonts w:ascii="Century Schoolbook" w:hAnsi="Century Schoolbook"/>
          <w:sz w:val="24"/>
          <w:szCs w:val="24"/>
        </w:rPr>
        <w:lastRenderedPageBreak/>
        <w:t xml:space="preserve">MDLs. Key features of a global settlement are: (1) use of a settlement matrix to achieve horizontal and vertical equity (i.e., similarly situated claimants are treated the same and those with </w:t>
      </w:r>
      <w:r>
        <w:rPr>
          <w:rFonts w:ascii="Century Schoolbook" w:hAnsi="Century Schoolbook"/>
          <w:sz w:val="24"/>
          <w:szCs w:val="24"/>
        </w:rPr>
        <w:t xml:space="preserve">greater </w:t>
      </w:r>
      <w:r w:rsidRPr="00573FA5">
        <w:rPr>
          <w:rFonts w:ascii="Century Schoolbook" w:hAnsi="Century Schoolbook"/>
          <w:sz w:val="24"/>
          <w:szCs w:val="24"/>
        </w:rPr>
        <w:t xml:space="preserve">proof of signature injuries </w:t>
      </w:r>
      <w:r>
        <w:rPr>
          <w:rFonts w:ascii="Century Schoolbook" w:hAnsi="Century Schoolbook"/>
          <w:sz w:val="24"/>
          <w:szCs w:val="24"/>
        </w:rPr>
        <w:t xml:space="preserve">receive greater </w:t>
      </w:r>
      <w:r w:rsidRPr="00573FA5">
        <w:rPr>
          <w:rFonts w:ascii="Century Schoolbook" w:hAnsi="Century Schoolbook"/>
          <w:sz w:val="24"/>
          <w:szCs w:val="24"/>
        </w:rPr>
        <w:t>compensat</w:t>
      </w:r>
      <w:r>
        <w:rPr>
          <w:rFonts w:ascii="Century Schoolbook" w:hAnsi="Century Schoolbook"/>
          <w:sz w:val="24"/>
          <w:szCs w:val="24"/>
        </w:rPr>
        <w:t>ion</w:t>
      </w:r>
      <w:r w:rsidRPr="00573FA5">
        <w:rPr>
          <w:rFonts w:ascii="Century Schoolbook" w:hAnsi="Century Schoolbook"/>
          <w:sz w:val="24"/>
          <w:szCs w:val="24"/>
        </w:rPr>
        <w:t xml:space="preserve">); </w:t>
      </w:r>
      <w:r>
        <w:rPr>
          <w:rFonts w:ascii="Century Schoolbook" w:hAnsi="Century Schoolbook"/>
          <w:sz w:val="24"/>
          <w:szCs w:val="24"/>
        </w:rPr>
        <w:t xml:space="preserve">(2) plaintiff participation percentages to go into effect; </w:t>
      </w:r>
      <w:r w:rsidRPr="00573FA5">
        <w:rPr>
          <w:rFonts w:ascii="Century Schoolbook" w:hAnsi="Century Schoolbook"/>
          <w:sz w:val="24"/>
          <w:szCs w:val="24"/>
        </w:rPr>
        <w:t>and (</w:t>
      </w:r>
      <w:r>
        <w:rPr>
          <w:rFonts w:ascii="Century Schoolbook" w:hAnsi="Century Schoolbook"/>
          <w:sz w:val="24"/>
          <w:szCs w:val="24"/>
        </w:rPr>
        <w:t>3</w:t>
      </w:r>
      <w:r w:rsidRPr="00573FA5">
        <w:rPr>
          <w:rFonts w:ascii="Century Schoolbook" w:hAnsi="Century Schoolbook"/>
          <w:sz w:val="24"/>
          <w:szCs w:val="24"/>
        </w:rPr>
        <w:t xml:space="preserve">) designated plaintiffs’ counsel selected to </w:t>
      </w:r>
      <w:r>
        <w:rPr>
          <w:rFonts w:ascii="Century Schoolbook" w:hAnsi="Century Schoolbook"/>
          <w:sz w:val="24"/>
          <w:szCs w:val="24"/>
        </w:rPr>
        <w:t>manage</w:t>
      </w:r>
      <w:r w:rsidRPr="00573FA5">
        <w:rPr>
          <w:rFonts w:ascii="Century Schoolbook" w:hAnsi="Century Schoolbook"/>
          <w:sz w:val="24"/>
          <w:szCs w:val="24"/>
        </w:rPr>
        <w:t xml:space="preserve"> the settlement program.</w:t>
      </w:r>
    </w:p>
    <w:p w:rsidR="00610156" w:rsidRPr="00573FA5" w:rsidRDefault="00610156" w:rsidP="00610156">
      <w:pPr>
        <w:ind w:firstLine="720"/>
        <w:contextualSpacing/>
        <w:rPr>
          <w:rFonts w:ascii="Century Schoolbook" w:hAnsi="Century Schoolbook"/>
          <w:sz w:val="24"/>
          <w:szCs w:val="24"/>
        </w:rPr>
      </w:pPr>
    </w:p>
    <w:p w:rsidR="00610156" w:rsidRPr="00573FA5" w:rsidRDefault="00CA3C6F" w:rsidP="00610156">
      <w:pPr>
        <w:ind w:firstLine="720"/>
        <w:contextualSpacing/>
        <w:rPr>
          <w:rFonts w:ascii="Century Schoolbook" w:hAnsi="Century Schoolbook"/>
          <w:sz w:val="24"/>
          <w:szCs w:val="24"/>
        </w:rPr>
      </w:pPr>
      <w:r w:rsidRPr="00573FA5">
        <w:rPr>
          <w:rFonts w:ascii="Century Schoolbook" w:hAnsi="Century Schoolbook"/>
          <w:sz w:val="24"/>
          <w:szCs w:val="24"/>
        </w:rPr>
        <w:t xml:space="preserve">An inventory settlement is one in which one </w:t>
      </w:r>
      <w:r>
        <w:rPr>
          <w:rFonts w:ascii="Century Schoolbook" w:hAnsi="Century Schoolbook"/>
          <w:sz w:val="24"/>
          <w:szCs w:val="24"/>
        </w:rPr>
        <w:t xml:space="preserve">or more </w:t>
      </w:r>
      <w:r w:rsidRPr="00573FA5">
        <w:rPr>
          <w:rFonts w:ascii="Century Schoolbook" w:hAnsi="Century Schoolbook"/>
          <w:sz w:val="24"/>
          <w:szCs w:val="24"/>
        </w:rPr>
        <w:t>plaintiffs’ firm</w:t>
      </w:r>
      <w:r>
        <w:rPr>
          <w:rFonts w:ascii="Century Schoolbook" w:hAnsi="Century Schoolbook"/>
          <w:sz w:val="24"/>
          <w:szCs w:val="24"/>
        </w:rPr>
        <w:t>s</w:t>
      </w:r>
      <w:r w:rsidRPr="00573FA5">
        <w:rPr>
          <w:rFonts w:ascii="Century Schoolbook" w:hAnsi="Century Schoolbook"/>
          <w:sz w:val="24"/>
          <w:szCs w:val="24"/>
        </w:rPr>
        <w:t xml:space="preserve"> negotiates a settlement with the defendant involving only </w:t>
      </w:r>
      <w:r>
        <w:rPr>
          <w:rFonts w:ascii="Century Schoolbook" w:hAnsi="Century Schoolbook"/>
          <w:sz w:val="24"/>
          <w:szCs w:val="24"/>
        </w:rPr>
        <w:t xml:space="preserve">clients represented by the settling </w:t>
      </w:r>
      <w:r w:rsidRPr="00573FA5">
        <w:rPr>
          <w:rFonts w:ascii="Century Schoolbook" w:hAnsi="Century Schoolbook"/>
          <w:sz w:val="24"/>
          <w:szCs w:val="24"/>
        </w:rPr>
        <w:t>firm</w:t>
      </w:r>
      <w:r>
        <w:rPr>
          <w:rFonts w:ascii="Century Schoolbook" w:hAnsi="Century Schoolbook"/>
          <w:sz w:val="24"/>
          <w:szCs w:val="24"/>
        </w:rPr>
        <w:t>(s)</w:t>
      </w:r>
      <w:r w:rsidRPr="00573FA5">
        <w:rPr>
          <w:rFonts w:ascii="Century Schoolbook" w:hAnsi="Century Schoolbook"/>
          <w:sz w:val="24"/>
          <w:szCs w:val="24"/>
        </w:rPr>
        <w:t xml:space="preserve">. Examples of recent inventory settlements include the </w:t>
      </w:r>
      <w:r w:rsidRPr="00573FA5">
        <w:rPr>
          <w:rFonts w:ascii="Century Schoolbook" w:hAnsi="Century Schoolbook"/>
          <w:i/>
          <w:sz w:val="24"/>
          <w:szCs w:val="24"/>
        </w:rPr>
        <w:t>TVM</w:t>
      </w:r>
      <w:r w:rsidRPr="00573FA5">
        <w:rPr>
          <w:rFonts w:ascii="Century Schoolbook" w:hAnsi="Century Schoolbook"/>
          <w:sz w:val="24"/>
          <w:szCs w:val="24"/>
        </w:rPr>
        <w:t xml:space="preserve">, </w:t>
      </w:r>
      <w:r w:rsidRPr="00573FA5">
        <w:rPr>
          <w:rFonts w:ascii="Century Schoolbook" w:hAnsi="Century Schoolbook"/>
          <w:i/>
          <w:sz w:val="24"/>
          <w:szCs w:val="24"/>
        </w:rPr>
        <w:t>Avandia</w:t>
      </w:r>
      <w:r w:rsidRPr="00573FA5">
        <w:rPr>
          <w:rFonts w:ascii="Century Schoolbook" w:hAnsi="Century Schoolbook"/>
          <w:sz w:val="24"/>
          <w:szCs w:val="24"/>
        </w:rPr>
        <w:t xml:space="preserve">, and </w:t>
      </w:r>
      <w:r w:rsidRPr="00573FA5">
        <w:rPr>
          <w:rFonts w:ascii="Century Schoolbook" w:hAnsi="Century Schoolbook"/>
          <w:i/>
          <w:sz w:val="24"/>
          <w:szCs w:val="24"/>
        </w:rPr>
        <w:t>Yaz</w:t>
      </w:r>
      <w:r w:rsidRPr="00573FA5">
        <w:rPr>
          <w:rFonts w:ascii="Century Schoolbook" w:hAnsi="Century Schoolbook"/>
          <w:sz w:val="24"/>
          <w:szCs w:val="24"/>
        </w:rPr>
        <w:t xml:space="preserve"> (VTE injury) litigations. </w:t>
      </w:r>
      <w:r>
        <w:rPr>
          <w:rFonts w:ascii="Century Schoolbook" w:hAnsi="Century Schoolbook"/>
          <w:sz w:val="24"/>
          <w:szCs w:val="24"/>
        </w:rPr>
        <w:t>The</w:t>
      </w:r>
      <w:r w:rsidRPr="00573FA5">
        <w:rPr>
          <w:rFonts w:ascii="Century Schoolbook" w:hAnsi="Century Schoolbook"/>
          <w:sz w:val="24"/>
          <w:szCs w:val="24"/>
        </w:rPr>
        <w:t xml:space="preserve"> terms and values of inventory settlement</w:t>
      </w:r>
      <w:r>
        <w:rPr>
          <w:rFonts w:ascii="Century Schoolbook" w:hAnsi="Century Schoolbook"/>
          <w:sz w:val="24"/>
          <w:szCs w:val="24"/>
        </w:rPr>
        <w:t>s</w:t>
      </w:r>
      <w:r w:rsidRPr="00573FA5">
        <w:rPr>
          <w:rFonts w:ascii="Century Schoolbook" w:hAnsi="Century Schoolbook"/>
          <w:sz w:val="24"/>
          <w:szCs w:val="24"/>
        </w:rPr>
        <w:t xml:space="preserve"> vary depending on the </w:t>
      </w:r>
      <w:r>
        <w:rPr>
          <w:rFonts w:ascii="Century Schoolbook" w:hAnsi="Century Schoolbook"/>
          <w:sz w:val="24"/>
          <w:szCs w:val="24"/>
        </w:rPr>
        <w:t xml:space="preserve">number </w:t>
      </w:r>
      <w:r w:rsidR="00AF5D93">
        <w:rPr>
          <w:rFonts w:ascii="Century Schoolbook" w:hAnsi="Century Schoolbook"/>
          <w:sz w:val="24"/>
          <w:szCs w:val="24"/>
        </w:rPr>
        <w:t xml:space="preserve">of </w:t>
      </w:r>
      <w:r w:rsidRPr="00573FA5">
        <w:rPr>
          <w:rFonts w:ascii="Century Schoolbook" w:hAnsi="Century Schoolbook"/>
          <w:sz w:val="24"/>
          <w:szCs w:val="24"/>
        </w:rPr>
        <w:t xml:space="preserve">plaintiffs </w:t>
      </w:r>
      <w:r>
        <w:rPr>
          <w:rFonts w:ascii="Century Schoolbook" w:hAnsi="Century Schoolbook"/>
          <w:sz w:val="24"/>
          <w:szCs w:val="24"/>
        </w:rPr>
        <w:t xml:space="preserve">and quality of claims </w:t>
      </w:r>
      <w:r w:rsidRPr="00573FA5">
        <w:rPr>
          <w:rFonts w:ascii="Century Schoolbook" w:hAnsi="Century Schoolbook"/>
          <w:sz w:val="24"/>
          <w:szCs w:val="24"/>
        </w:rPr>
        <w:t>in a particular inventory.</w:t>
      </w:r>
    </w:p>
    <w:p w:rsidR="00610156" w:rsidRPr="00573FA5" w:rsidRDefault="00610156" w:rsidP="00610156">
      <w:pPr>
        <w:ind w:firstLine="720"/>
        <w:contextualSpacing/>
        <w:rPr>
          <w:rFonts w:ascii="Century Schoolbook" w:hAnsi="Century Schoolbook"/>
          <w:sz w:val="24"/>
          <w:szCs w:val="24"/>
        </w:rPr>
      </w:pPr>
    </w:p>
    <w:p w:rsidR="00610156" w:rsidRPr="00573FA5" w:rsidRDefault="00CA3C6F" w:rsidP="00610156">
      <w:pPr>
        <w:ind w:left="720" w:right="720"/>
        <w:contextualSpacing/>
        <w:jc w:val="both"/>
        <w:rPr>
          <w:rFonts w:ascii="Century Schoolbook" w:hAnsi="Century Schoolbook"/>
          <w:b/>
          <w:sz w:val="24"/>
          <w:szCs w:val="24"/>
        </w:rPr>
      </w:pPr>
      <w:r w:rsidRPr="00573FA5">
        <w:rPr>
          <w:rFonts w:ascii="Century Schoolbook" w:hAnsi="Century Schoolbook"/>
          <w:b/>
          <w:smallCaps/>
          <w:sz w:val="24"/>
          <w:szCs w:val="24"/>
        </w:rPr>
        <w:t>MDL Standard 15</w:t>
      </w:r>
      <w:r w:rsidRPr="00573FA5">
        <w:rPr>
          <w:rFonts w:ascii="Century Schoolbook" w:hAnsi="Century Schoolbook"/>
          <w:b/>
          <w:sz w:val="24"/>
          <w:szCs w:val="24"/>
        </w:rPr>
        <w:t xml:space="preserve">: </w:t>
      </w:r>
      <w:r w:rsidRPr="00573FA5">
        <w:rPr>
          <w:rFonts w:ascii="Century Schoolbook" w:hAnsi="Century Schoolbook"/>
          <w:sz w:val="24"/>
          <w:szCs w:val="24"/>
        </w:rPr>
        <w:t xml:space="preserve">For global settlements, which </w:t>
      </w:r>
      <w:r>
        <w:rPr>
          <w:rFonts w:ascii="Century Schoolbook" w:hAnsi="Century Schoolbook"/>
          <w:sz w:val="24"/>
          <w:szCs w:val="24"/>
        </w:rPr>
        <w:t xml:space="preserve">will </w:t>
      </w:r>
      <w:r w:rsidRPr="00573FA5">
        <w:rPr>
          <w:rFonts w:ascii="Century Schoolbook" w:hAnsi="Century Schoolbook"/>
          <w:sz w:val="24"/>
          <w:szCs w:val="24"/>
        </w:rPr>
        <w:t>resol</w:t>
      </w:r>
      <w:r>
        <w:rPr>
          <w:rFonts w:ascii="Century Schoolbook" w:hAnsi="Century Schoolbook"/>
          <w:sz w:val="24"/>
          <w:szCs w:val="24"/>
        </w:rPr>
        <w:t xml:space="preserve">ve </w:t>
      </w:r>
      <w:r w:rsidRPr="00573FA5">
        <w:rPr>
          <w:rFonts w:ascii="Century Schoolbook" w:hAnsi="Century Schoolbook"/>
          <w:sz w:val="24"/>
          <w:szCs w:val="24"/>
        </w:rPr>
        <w:t xml:space="preserve">an entire MDL, the court should ensure the integrity and transparency of the </w:t>
      </w:r>
      <w:r w:rsidR="00404174">
        <w:rPr>
          <w:rFonts w:ascii="Century Schoolbook" w:hAnsi="Century Schoolbook"/>
          <w:sz w:val="24"/>
          <w:szCs w:val="24"/>
        </w:rPr>
        <w:t xml:space="preserve">process that led to the </w:t>
      </w:r>
      <w:r w:rsidRPr="00573FA5">
        <w:rPr>
          <w:rFonts w:ascii="Century Schoolbook" w:hAnsi="Century Schoolbook"/>
          <w:sz w:val="24"/>
          <w:szCs w:val="24"/>
        </w:rPr>
        <w:t>settlement agreement, including the claims process.</w:t>
      </w:r>
      <w:r w:rsidRPr="00573FA5">
        <w:rPr>
          <w:rFonts w:ascii="Century Schoolbook" w:hAnsi="Century Schoolbook"/>
          <w:b/>
          <w:sz w:val="24"/>
          <w:szCs w:val="24"/>
        </w:rPr>
        <w:t xml:space="preserve"> </w:t>
      </w:r>
    </w:p>
    <w:p w:rsidR="00610156" w:rsidRPr="00573FA5" w:rsidRDefault="00610156" w:rsidP="00610156">
      <w:pPr>
        <w:contextualSpacing/>
        <w:rPr>
          <w:rFonts w:ascii="Century Schoolbook" w:hAnsi="Century Schoolbook"/>
          <w:sz w:val="24"/>
          <w:szCs w:val="24"/>
        </w:rPr>
      </w:pPr>
    </w:p>
    <w:p w:rsidR="00610156" w:rsidRPr="00573FA5" w:rsidRDefault="00CA3C6F" w:rsidP="00610156">
      <w:pPr>
        <w:pStyle w:val="Default"/>
        <w:ind w:firstLine="720"/>
        <w:contextualSpacing/>
        <w:rPr>
          <w:rFonts w:ascii="Century Schoolbook" w:hAnsi="Century Schoolbook"/>
          <w:color w:val="auto"/>
        </w:rPr>
      </w:pPr>
      <w:r>
        <w:rPr>
          <w:rFonts w:ascii="Century Schoolbook" w:hAnsi="Century Schoolbook"/>
          <w:color w:val="auto"/>
        </w:rPr>
        <w:t>M</w:t>
      </w:r>
      <w:r w:rsidRPr="00573FA5">
        <w:rPr>
          <w:rFonts w:ascii="Century Schoolbook" w:hAnsi="Century Schoolbook"/>
          <w:color w:val="auto"/>
        </w:rPr>
        <w:t xml:space="preserve">ore than ninety percent of cases centralized in mass-tort MDLs </w:t>
      </w:r>
      <w:r>
        <w:rPr>
          <w:rFonts w:ascii="Century Schoolbook" w:hAnsi="Century Schoolbook"/>
          <w:color w:val="auto"/>
        </w:rPr>
        <w:t xml:space="preserve">are finally resolved, </w:t>
      </w:r>
      <w:r w:rsidRPr="00573FA5">
        <w:rPr>
          <w:rFonts w:ascii="Century Schoolbook" w:hAnsi="Century Schoolbook"/>
          <w:color w:val="auto"/>
        </w:rPr>
        <w:t xml:space="preserve">either on motion or by settlement. Judicial approval is required for settlements that dispose of class actions and certain antitrust actions. Global MDL settlements, which </w:t>
      </w:r>
      <w:r>
        <w:rPr>
          <w:rFonts w:ascii="Century Schoolbook" w:hAnsi="Century Schoolbook"/>
          <w:color w:val="auto"/>
        </w:rPr>
        <w:t xml:space="preserve">effectively </w:t>
      </w:r>
      <w:r w:rsidRPr="00573FA5">
        <w:rPr>
          <w:rFonts w:ascii="Century Schoolbook" w:hAnsi="Century Schoolbook"/>
          <w:color w:val="auto"/>
        </w:rPr>
        <w:t xml:space="preserve">terminate the MDL and </w:t>
      </w:r>
      <w:r>
        <w:rPr>
          <w:rFonts w:ascii="Century Schoolbook" w:hAnsi="Century Schoolbook"/>
          <w:color w:val="auto"/>
        </w:rPr>
        <w:t xml:space="preserve">thus </w:t>
      </w:r>
      <w:r w:rsidRPr="00573FA5">
        <w:rPr>
          <w:rFonts w:ascii="Century Schoolbook" w:hAnsi="Century Schoolbook"/>
          <w:color w:val="auto"/>
        </w:rPr>
        <w:t xml:space="preserve">affect the rights of </w:t>
      </w:r>
      <w:r>
        <w:rPr>
          <w:rFonts w:ascii="Century Schoolbook" w:hAnsi="Century Schoolbook"/>
          <w:color w:val="auto"/>
        </w:rPr>
        <w:t xml:space="preserve">the remaining </w:t>
      </w:r>
      <w:r w:rsidRPr="00573FA5">
        <w:rPr>
          <w:rFonts w:ascii="Century Schoolbook" w:hAnsi="Century Schoolbook"/>
          <w:color w:val="auto"/>
        </w:rPr>
        <w:t>non-parties</w:t>
      </w:r>
      <w:r>
        <w:rPr>
          <w:rFonts w:ascii="Century Schoolbook" w:hAnsi="Century Schoolbook"/>
          <w:color w:val="auto"/>
        </w:rPr>
        <w:t xml:space="preserve"> to the settlement</w:t>
      </w:r>
      <w:r w:rsidRPr="00573FA5">
        <w:rPr>
          <w:rFonts w:ascii="Century Schoolbook" w:hAnsi="Century Schoolbook"/>
          <w:color w:val="auto"/>
        </w:rPr>
        <w:t>, should be examined by the MDL court pursuant to its oversight authority to facilitate and ensure the fairness of the overall settlement process. For inventory settlements, the court may rely on the parties to execute their settlement agreement unless the court’s assistance is sought.</w:t>
      </w:r>
    </w:p>
    <w:p w:rsidR="00610156" w:rsidRPr="00573FA5" w:rsidRDefault="00610156" w:rsidP="00610156">
      <w:pPr>
        <w:pStyle w:val="Default"/>
        <w:ind w:firstLine="720"/>
        <w:contextualSpacing/>
        <w:rPr>
          <w:rFonts w:ascii="Century Schoolbook" w:hAnsi="Century Schoolbook"/>
          <w:color w:val="auto"/>
        </w:rPr>
      </w:pPr>
    </w:p>
    <w:p w:rsidR="00610156" w:rsidRPr="00573FA5" w:rsidRDefault="00CA3C6F" w:rsidP="00610156">
      <w:pPr>
        <w:pStyle w:val="Default"/>
        <w:ind w:left="720" w:right="720"/>
        <w:contextualSpacing/>
        <w:jc w:val="both"/>
        <w:rPr>
          <w:rFonts w:ascii="Century Schoolbook" w:hAnsi="Century Schoolbook"/>
          <w:i/>
          <w:color w:val="auto"/>
        </w:rPr>
      </w:pPr>
      <w:r w:rsidRPr="00573FA5">
        <w:rPr>
          <w:rFonts w:ascii="Century Schoolbook" w:hAnsi="Century Schoolbook"/>
          <w:smallCaps/>
          <w:color w:val="auto"/>
        </w:rPr>
        <w:t>Best Practice 15A</w:t>
      </w:r>
      <w:r w:rsidRPr="00573FA5">
        <w:rPr>
          <w:rFonts w:ascii="Century Schoolbook" w:hAnsi="Century Schoolbook"/>
          <w:color w:val="auto"/>
        </w:rPr>
        <w:t xml:space="preserve">: </w:t>
      </w:r>
      <w:r>
        <w:rPr>
          <w:rFonts w:ascii="Century Schoolbook" w:hAnsi="Century Schoolbook"/>
          <w:color w:val="auto"/>
        </w:rPr>
        <w:t xml:space="preserve">Upon reaching </w:t>
      </w:r>
      <w:r w:rsidRPr="00573FA5">
        <w:rPr>
          <w:rFonts w:ascii="Century Schoolbook" w:hAnsi="Century Schoolbook"/>
          <w:color w:val="auto"/>
        </w:rPr>
        <w:t>a global settlement, the parties should provide the transferee judge with information concerning the allocation model specified by the settlement (including eligibility criteria), distribution system, minimum participation rate, and provisions accounting for any distributions for extraordinary circumstances.</w:t>
      </w:r>
    </w:p>
    <w:p w:rsidR="00610156" w:rsidRPr="00573FA5" w:rsidRDefault="00610156" w:rsidP="00610156">
      <w:pPr>
        <w:pStyle w:val="Default"/>
        <w:ind w:left="720" w:right="720"/>
        <w:contextualSpacing/>
        <w:rPr>
          <w:rFonts w:ascii="Century Schoolbook" w:hAnsi="Century Schoolbook"/>
          <w:color w:val="auto"/>
        </w:rPr>
      </w:pPr>
    </w:p>
    <w:p w:rsidR="00610156" w:rsidRPr="00573FA5" w:rsidRDefault="00CA3C6F" w:rsidP="00610156">
      <w:pPr>
        <w:pStyle w:val="Default"/>
        <w:ind w:firstLine="720"/>
        <w:contextualSpacing/>
        <w:rPr>
          <w:rFonts w:ascii="Century Schoolbook" w:hAnsi="Century Schoolbook"/>
          <w:color w:val="auto"/>
        </w:rPr>
      </w:pPr>
      <w:r w:rsidRPr="00573FA5">
        <w:rPr>
          <w:rFonts w:ascii="Century Schoolbook" w:hAnsi="Century Schoolbook"/>
          <w:color w:val="auto"/>
        </w:rPr>
        <w:t xml:space="preserve">A transferee judge overseeing a global settlement does not need to know all the details of a settlement, but </w:t>
      </w:r>
      <w:r>
        <w:rPr>
          <w:rFonts w:ascii="Century Schoolbook" w:hAnsi="Century Schoolbook"/>
          <w:color w:val="auto"/>
        </w:rPr>
        <w:t xml:space="preserve">must </w:t>
      </w:r>
      <w:r w:rsidRPr="00573FA5">
        <w:rPr>
          <w:rFonts w:ascii="Century Schoolbook" w:hAnsi="Century Schoolbook"/>
          <w:color w:val="auto"/>
        </w:rPr>
        <w:t>have information sufficient to determine that the agreement and claims process are not unfair.</w:t>
      </w:r>
      <w:r>
        <w:rPr>
          <w:rStyle w:val="FootnoteReference"/>
          <w:rFonts w:ascii="Century Schoolbook" w:hAnsi="Century Schoolbook"/>
          <w:color w:val="auto"/>
        </w:rPr>
        <w:footnoteReference w:id="46"/>
      </w:r>
    </w:p>
    <w:p w:rsidR="00610156" w:rsidRPr="00573FA5" w:rsidRDefault="00610156" w:rsidP="00610156">
      <w:pPr>
        <w:pStyle w:val="Default"/>
        <w:ind w:firstLine="720"/>
        <w:contextualSpacing/>
        <w:rPr>
          <w:rFonts w:ascii="Century Schoolbook" w:hAnsi="Century Schoolbook"/>
          <w:color w:val="auto"/>
        </w:rPr>
      </w:pPr>
    </w:p>
    <w:p w:rsidR="00610156" w:rsidRPr="00573FA5" w:rsidRDefault="00CA3C6F" w:rsidP="00610156">
      <w:pPr>
        <w:pStyle w:val="Default"/>
        <w:ind w:firstLine="720"/>
        <w:contextualSpacing/>
        <w:rPr>
          <w:rFonts w:ascii="Century Schoolbook" w:hAnsi="Century Schoolbook"/>
          <w:color w:val="auto"/>
        </w:rPr>
      </w:pPr>
      <w:r w:rsidRPr="00573FA5">
        <w:rPr>
          <w:rFonts w:ascii="Century Schoolbook" w:hAnsi="Century Schoolbook"/>
          <w:color w:val="auto"/>
        </w:rPr>
        <w:t xml:space="preserve">Global settlements (and inventory settlements, with which the court is not </w:t>
      </w:r>
      <w:r w:rsidR="00404174">
        <w:rPr>
          <w:rFonts w:ascii="Century Schoolbook" w:hAnsi="Century Schoolbook"/>
          <w:color w:val="auto"/>
        </w:rPr>
        <w:t>generally</w:t>
      </w:r>
      <w:r w:rsidRPr="00573FA5">
        <w:rPr>
          <w:rFonts w:ascii="Century Schoolbook" w:hAnsi="Century Schoolbook"/>
          <w:color w:val="auto"/>
        </w:rPr>
        <w:t xml:space="preserve"> involved) establish eligibility criteria to determine whether a plaintiff is entitled to settlement compensation. </w:t>
      </w:r>
      <w:r>
        <w:rPr>
          <w:rFonts w:ascii="Century Schoolbook" w:hAnsi="Century Schoolbook"/>
          <w:color w:val="auto"/>
        </w:rPr>
        <w:t>Usually, a</w:t>
      </w:r>
      <w:r w:rsidRPr="00573FA5">
        <w:rPr>
          <w:rFonts w:ascii="Century Schoolbook" w:hAnsi="Century Schoolbook"/>
          <w:color w:val="auto"/>
        </w:rPr>
        <w:t xml:space="preserve">dditional medical information is </w:t>
      </w:r>
      <w:r>
        <w:rPr>
          <w:rFonts w:ascii="Century Schoolbook" w:hAnsi="Century Schoolbook"/>
          <w:color w:val="auto"/>
        </w:rPr>
        <w:t xml:space="preserve">then used </w:t>
      </w:r>
      <w:r w:rsidRPr="00573FA5">
        <w:rPr>
          <w:rFonts w:ascii="Century Schoolbook" w:hAnsi="Century Schoolbook"/>
          <w:color w:val="auto"/>
        </w:rPr>
        <w:t xml:space="preserve">to determine the amount of compensation available to each individual. </w:t>
      </w:r>
      <w:r w:rsidRPr="00573FA5">
        <w:rPr>
          <w:rFonts w:ascii="Century Schoolbook" w:hAnsi="Century Schoolbook"/>
          <w:color w:val="auto"/>
        </w:rPr>
        <w:lastRenderedPageBreak/>
        <w:t xml:space="preserve">For example, medical risk factors for the injury at issue independent of the defendant’s product may </w:t>
      </w:r>
      <w:r>
        <w:rPr>
          <w:rFonts w:ascii="Century Schoolbook" w:hAnsi="Century Schoolbook"/>
          <w:color w:val="auto"/>
        </w:rPr>
        <w:t xml:space="preserve">preclude or reduce </w:t>
      </w:r>
      <w:r w:rsidRPr="00573FA5">
        <w:rPr>
          <w:rFonts w:ascii="Century Schoolbook" w:hAnsi="Century Schoolbook"/>
          <w:color w:val="auto"/>
        </w:rPr>
        <w:t xml:space="preserve">a plaintiff’s </w:t>
      </w:r>
      <w:r>
        <w:rPr>
          <w:rFonts w:ascii="Century Schoolbook" w:hAnsi="Century Schoolbook"/>
          <w:color w:val="auto"/>
        </w:rPr>
        <w:t xml:space="preserve">recovery </w:t>
      </w:r>
      <w:r w:rsidRPr="00573FA5">
        <w:rPr>
          <w:rFonts w:ascii="Century Schoolbook" w:hAnsi="Century Schoolbook"/>
          <w:color w:val="auto"/>
        </w:rPr>
        <w:t xml:space="preserve">from a settlement fund. </w:t>
      </w:r>
    </w:p>
    <w:p w:rsidR="00610156" w:rsidRPr="00573FA5" w:rsidRDefault="00610156" w:rsidP="00610156">
      <w:pPr>
        <w:pStyle w:val="Default"/>
        <w:ind w:firstLine="720"/>
        <w:contextualSpacing/>
        <w:rPr>
          <w:rFonts w:ascii="Century Schoolbook" w:hAnsi="Century Schoolbook"/>
          <w:color w:val="auto"/>
        </w:rPr>
      </w:pPr>
    </w:p>
    <w:p w:rsidR="00610156" w:rsidRPr="00573FA5" w:rsidRDefault="00CA3C6F" w:rsidP="00610156">
      <w:pPr>
        <w:pStyle w:val="Default"/>
        <w:ind w:firstLine="720"/>
        <w:contextualSpacing/>
        <w:rPr>
          <w:rFonts w:ascii="Century Schoolbook" w:hAnsi="Century Schoolbook"/>
          <w:color w:val="auto"/>
        </w:rPr>
      </w:pPr>
      <w:r w:rsidRPr="00573FA5">
        <w:rPr>
          <w:rFonts w:ascii="Century Schoolbook" w:hAnsi="Century Schoolbook"/>
          <w:color w:val="auto"/>
        </w:rPr>
        <w:t xml:space="preserve">In many large MDLs, the parties </w:t>
      </w:r>
      <w:r>
        <w:rPr>
          <w:rFonts w:ascii="Century Schoolbook" w:hAnsi="Century Schoolbook"/>
          <w:color w:val="auto"/>
        </w:rPr>
        <w:t xml:space="preserve">employ a matrix grid to </w:t>
      </w:r>
      <w:r w:rsidRPr="00573FA5">
        <w:rPr>
          <w:rFonts w:ascii="Century Schoolbook" w:hAnsi="Century Schoolbook"/>
          <w:color w:val="auto"/>
        </w:rPr>
        <w:t xml:space="preserve">develop a “point system” </w:t>
      </w:r>
      <w:r>
        <w:rPr>
          <w:rFonts w:ascii="Century Schoolbook" w:hAnsi="Century Schoolbook"/>
          <w:color w:val="auto"/>
        </w:rPr>
        <w:t xml:space="preserve">that </w:t>
      </w:r>
      <w:r w:rsidRPr="00573FA5">
        <w:rPr>
          <w:rFonts w:ascii="Century Schoolbook" w:hAnsi="Century Schoolbook"/>
          <w:color w:val="auto"/>
        </w:rPr>
        <w:t>allocate</w:t>
      </w:r>
      <w:r>
        <w:rPr>
          <w:rFonts w:ascii="Century Schoolbook" w:hAnsi="Century Schoolbook"/>
          <w:color w:val="auto"/>
        </w:rPr>
        <w:t>s</w:t>
      </w:r>
      <w:r w:rsidRPr="00573FA5">
        <w:rPr>
          <w:rFonts w:ascii="Century Schoolbook" w:hAnsi="Century Schoolbook"/>
          <w:color w:val="auto"/>
        </w:rPr>
        <w:t xml:space="preserve"> an aggregate settlement amount among eligible plaintiffs according to objective criteria. </w:t>
      </w:r>
      <w:r>
        <w:rPr>
          <w:rFonts w:ascii="Century Schoolbook" w:hAnsi="Century Schoolbook"/>
          <w:color w:val="auto"/>
        </w:rPr>
        <w:t xml:space="preserve">A </w:t>
      </w:r>
      <w:r w:rsidRPr="00573FA5">
        <w:rPr>
          <w:rFonts w:ascii="Century Schoolbook" w:hAnsi="Century Schoolbook"/>
          <w:color w:val="auto"/>
        </w:rPr>
        <w:t xml:space="preserve">points system </w:t>
      </w:r>
      <w:r>
        <w:rPr>
          <w:rFonts w:ascii="Century Schoolbook" w:hAnsi="Century Schoolbook"/>
          <w:color w:val="auto"/>
        </w:rPr>
        <w:t xml:space="preserve">typically </w:t>
      </w:r>
      <w:r w:rsidRPr="00573FA5">
        <w:rPr>
          <w:rFonts w:ascii="Century Schoolbook" w:hAnsi="Century Schoolbook"/>
          <w:color w:val="auto"/>
        </w:rPr>
        <w:t xml:space="preserve">begins by categorizing relevant injuries </w:t>
      </w:r>
      <w:r>
        <w:rPr>
          <w:rFonts w:ascii="Century Schoolbook" w:hAnsi="Century Schoolbook"/>
          <w:color w:val="auto"/>
        </w:rPr>
        <w:t>by</w:t>
      </w:r>
      <w:r w:rsidRPr="00573FA5">
        <w:rPr>
          <w:rFonts w:ascii="Century Schoolbook" w:hAnsi="Century Schoolbook"/>
          <w:color w:val="auto"/>
        </w:rPr>
        <w:t xml:space="preserve"> severity, often </w:t>
      </w:r>
      <w:r>
        <w:rPr>
          <w:rFonts w:ascii="Century Schoolbook" w:hAnsi="Century Schoolbook"/>
          <w:color w:val="auto"/>
        </w:rPr>
        <w:t xml:space="preserve">after plaintiffs are evaluated by </w:t>
      </w:r>
      <w:r w:rsidRPr="00573FA5">
        <w:rPr>
          <w:rFonts w:ascii="Century Schoolbook" w:hAnsi="Century Schoolbook"/>
          <w:color w:val="auto"/>
        </w:rPr>
        <w:t>medical experts. Base points are assigned to specific injuries, and adjust</w:t>
      </w:r>
      <w:r>
        <w:rPr>
          <w:rFonts w:ascii="Century Schoolbook" w:hAnsi="Century Schoolbook"/>
          <w:color w:val="auto"/>
        </w:rPr>
        <w:t xml:space="preserve">ed for objective criteria, including </w:t>
      </w:r>
      <w:r w:rsidRPr="00573FA5">
        <w:rPr>
          <w:rFonts w:ascii="Century Schoolbook" w:hAnsi="Century Schoolbook"/>
          <w:color w:val="auto"/>
        </w:rPr>
        <w:t>age</w:t>
      </w:r>
      <w:r>
        <w:rPr>
          <w:rFonts w:ascii="Century Schoolbook" w:hAnsi="Century Schoolbook"/>
          <w:color w:val="auto"/>
        </w:rPr>
        <w:t xml:space="preserve"> </w:t>
      </w:r>
      <w:r w:rsidRPr="00573FA5">
        <w:rPr>
          <w:rFonts w:ascii="Century Schoolbook" w:hAnsi="Century Schoolbook"/>
          <w:color w:val="auto"/>
        </w:rPr>
        <w:t>and health history</w:t>
      </w:r>
      <w:r>
        <w:rPr>
          <w:rFonts w:ascii="Century Schoolbook" w:hAnsi="Century Schoolbook"/>
          <w:color w:val="auto"/>
        </w:rPr>
        <w:t>, that are relevant to the injuries at issue in the litigation</w:t>
      </w:r>
      <w:r w:rsidRPr="00573FA5">
        <w:rPr>
          <w:rFonts w:ascii="Century Schoolbook" w:hAnsi="Century Schoolbook"/>
          <w:color w:val="auto"/>
        </w:rPr>
        <w:t>.</w:t>
      </w:r>
    </w:p>
    <w:p w:rsidR="00610156" w:rsidRPr="00573FA5" w:rsidRDefault="00610156" w:rsidP="00610156">
      <w:pPr>
        <w:pStyle w:val="Default"/>
        <w:ind w:firstLine="720"/>
        <w:contextualSpacing/>
        <w:rPr>
          <w:rFonts w:ascii="Century Schoolbook" w:hAnsi="Century Schoolbook"/>
          <w:color w:val="auto"/>
        </w:rPr>
      </w:pPr>
    </w:p>
    <w:p w:rsidR="00610156" w:rsidRPr="00573FA5" w:rsidRDefault="00CA3C6F" w:rsidP="00610156">
      <w:pPr>
        <w:pStyle w:val="Default"/>
        <w:ind w:firstLine="720"/>
        <w:contextualSpacing/>
        <w:rPr>
          <w:rFonts w:ascii="Century Schoolbook" w:hAnsi="Century Schoolbook"/>
          <w:color w:val="auto"/>
        </w:rPr>
      </w:pPr>
      <w:r w:rsidRPr="00573FA5">
        <w:rPr>
          <w:rFonts w:ascii="Century Schoolbook" w:hAnsi="Century Schoolbook"/>
          <w:color w:val="auto"/>
        </w:rPr>
        <w:t xml:space="preserve">The </w:t>
      </w:r>
      <w:r>
        <w:rPr>
          <w:rFonts w:ascii="Century Schoolbook" w:hAnsi="Century Schoolbook"/>
          <w:color w:val="auto"/>
        </w:rPr>
        <w:t>completed</w:t>
      </w:r>
      <w:r w:rsidRPr="00573FA5">
        <w:rPr>
          <w:rFonts w:ascii="Century Schoolbook" w:hAnsi="Century Schoolbook"/>
          <w:color w:val="auto"/>
        </w:rPr>
        <w:t xml:space="preserve"> matrix provides an easy-to-comprehend grid, which informs claimants of </w:t>
      </w:r>
      <w:r>
        <w:rPr>
          <w:rFonts w:ascii="Century Schoolbook" w:hAnsi="Century Schoolbook"/>
          <w:color w:val="auto"/>
        </w:rPr>
        <w:t xml:space="preserve">the basis for </w:t>
      </w:r>
      <w:r w:rsidRPr="00573FA5">
        <w:rPr>
          <w:rFonts w:ascii="Century Schoolbook" w:hAnsi="Century Schoolbook"/>
          <w:color w:val="auto"/>
        </w:rPr>
        <w:t xml:space="preserve">their settlement amount. The more detailed and sophisticated the matrix, the greater the likelihood of eligibility disputes. The less detailed the matrix, the greater the likelihood that </w:t>
      </w:r>
      <w:r w:rsidR="00404174">
        <w:rPr>
          <w:rFonts w:ascii="Century Schoolbook" w:hAnsi="Century Schoolbook"/>
          <w:color w:val="auto"/>
        </w:rPr>
        <w:t>the relative size of claimants’ awards will not reflect relevant differences in their circumstances</w:t>
      </w:r>
      <w:r w:rsidRPr="00573FA5">
        <w:rPr>
          <w:rFonts w:ascii="Century Schoolbook" w:hAnsi="Century Schoolbook"/>
          <w:color w:val="auto"/>
        </w:rPr>
        <w:t xml:space="preserve">. </w:t>
      </w:r>
    </w:p>
    <w:p w:rsidR="00610156" w:rsidRPr="00573FA5" w:rsidRDefault="00610156" w:rsidP="00610156">
      <w:pPr>
        <w:pStyle w:val="Default"/>
        <w:ind w:left="720" w:right="720"/>
        <w:contextualSpacing/>
        <w:rPr>
          <w:rFonts w:ascii="Century Schoolbook" w:hAnsi="Century Schoolbook"/>
          <w:smallCaps/>
          <w:color w:val="auto"/>
        </w:rPr>
      </w:pPr>
    </w:p>
    <w:p w:rsidR="00610156" w:rsidRPr="00573FA5" w:rsidRDefault="00CA3C6F" w:rsidP="00610156">
      <w:pPr>
        <w:pStyle w:val="Default"/>
        <w:ind w:left="720" w:right="720"/>
        <w:contextualSpacing/>
        <w:jc w:val="both"/>
        <w:rPr>
          <w:rFonts w:ascii="Century Schoolbook" w:hAnsi="Century Schoolbook"/>
          <w:i/>
          <w:color w:val="auto"/>
        </w:rPr>
      </w:pPr>
      <w:r w:rsidRPr="00573FA5">
        <w:rPr>
          <w:rFonts w:ascii="Century Schoolbook" w:hAnsi="Century Schoolbook"/>
          <w:smallCaps/>
          <w:color w:val="auto"/>
        </w:rPr>
        <w:t>Best Practice 15B</w:t>
      </w:r>
      <w:r w:rsidRPr="00573FA5">
        <w:rPr>
          <w:rFonts w:ascii="Century Schoolbook" w:hAnsi="Century Schoolbook"/>
          <w:color w:val="auto"/>
        </w:rPr>
        <w:t>: The parties should advise the transferee judge of any minimum percentage or number of cases disposed of by a global settlement.</w:t>
      </w:r>
    </w:p>
    <w:p w:rsidR="00610156" w:rsidRPr="00573FA5" w:rsidRDefault="00610156" w:rsidP="00610156">
      <w:pPr>
        <w:pStyle w:val="Default"/>
        <w:ind w:right="720"/>
        <w:contextualSpacing/>
        <w:rPr>
          <w:rFonts w:ascii="Century Schoolbook" w:hAnsi="Century Schoolbook"/>
          <w:color w:val="auto"/>
        </w:rPr>
      </w:pPr>
    </w:p>
    <w:p w:rsidR="00610156" w:rsidRPr="00573FA5" w:rsidRDefault="00CA3C6F" w:rsidP="00610156">
      <w:pPr>
        <w:pStyle w:val="Default"/>
        <w:ind w:firstLine="720"/>
        <w:contextualSpacing/>
        <w:rPr>
          <w:rFonts w:ascii="Century Schoolbook" w:hAnsi="Century Schoolbook"/>
          <w:color w:val="auto"/>
        </w:rPr>
      </w:pPr>
      <w:r w:rsidRPr="00573FA5">
        <w:rPr>
          <w:rFonts w:ascii="Century Schoolbook" w:hAnsi="Century Schoolbook"/>
          <w:color w:val="auto"/>
        </w:rPr>
        <w:t xml:space="preserve">Typical settlements of large MDLs enable the defendant to </w:t>
      </w:r>
      <w:r>
        <w:rPr>
          <w:rFonts w:ascii="Century Schoolbook" w:hAnsi="Century Schoolbook"/>
          <w:color w:val="auto"/>
        </w:rPr>
        <w:t>abandon</w:t>
      </w:r>
      <w:r w:rsidRPr="00573FA5">
        <w:rPr>
          <w:rFonts w:ascii="Century Schoolbook" w:hAnsi="Century Schoolbook"/>
          <w:color w:val="auto"/>
        </w:rPr>
        <w:t xml:space="preserve"> the settlement if the percentage or number of cases settled does not reach a minimum “participation threshold</w:t>
      </w:r>
      <w:r>
        <w:rPr>
          <w:rFonts w:ascii="Century Schoolbook" w:hAnsi="Century Schoolbook"/>
          <w:color w:val="auto"/>
        </w:rPr>
        <w:t>,</w:t>
      </w:r>
      <w:r w:rsidRPr="00573FA5">
        <w:rPr>
          <w:rFonts w:ascii="Century Schoolbook" w:hAnsi="Century Schoolbook"/>
          <w:color w:val="auto"/>
        </w:rPr>
        <w:t xml:space="preserve">” </w:t>
      </w:r>
      <w:r>
        <w:rPr>
          <w:rFonts w:ascii="Century Schoolbook" w:hAnsi="Century Schoolbook"/>
          <w:color w:val="auto"/>
        </w:rPr>
        <w:t xml:space="preserve">which may be as high as </w:t>
      </w:r>
      <w:r w:rsidRPr="00573FA5">
        <w:rPr>
          <w:rFonts w:ascii="Century Schoolbook" w:hAnsi="Century Schoolbook"/>
          <w:color w:val="auto"/>
        </w:rPr>
        <w:t xml:space="preserve">ninety-five percent of the eligible population. Often, a settlement also sets minimum numbers or percentages concerning sub-categories of cases, typically </w:t>
      </w:r>
      <w:r>
        <w:rPr>
          <w:rFonts w:ascii="Century Schoolbook" w:hAnsi="Century Schoolbook"/>
          <w:color w:val="auto"/>
        </w:rPr>
        <w:t>the most serious</w:t>
      </w:r>
      <w:r w:rsidRPr="00573FA5">
        <w:rPr>
          <w:rFonts w:ascii="Century Schoolbook" w:hAnsi="Century Schoolbook"/>
          <w:color w:val="auto"/>
        </w:rPr>
        <w:t>.</w:t>
      </w:r>
      <w:r>
        <w:rPr>
          <w:rStyle w:val="FootnoteReference"/>
          <w:rFonts w:ascii="Century Schoolbook" w:hAnsi="Century Schoolbook"/>
          <w:color w:val="auto"/>
        </w:rPr>
        <w:footnoteReference w:id="47"/>
      </w:r>
      <w:r w:rsidRPr="00573FA5">
        <w:rPr>
          <w:rFonts w:ascii="Century Schoolbook" w:hAnsi="Century Schoolbook"/>
          <w:color w:val="auto"/>
        </w:rPr>
        <w:t xml:space="preserve"> </w:t>
      </w:r>
    </w:p>
    <w:p w:rsidR="00610156" w:rsidRPr="00573FA5" w:rsidRDefault="00610156" w:rsidP="00610156">
      <w:pPr>
        <w:pStyle w:val="Default"/>
        <w:ind w:right="720" w:firstLine="720"/>
        <w:contextualSpacing/>
        <w:rPr>
          <w:rFonts w:ascii="Century Schoolbook" w:hAnsi="Century Schoolbook"/>
          <w:color w:val="auto"/>
        </w:rPr>
      </w:pPr>
    </w:p>
    <w:p w:rsidR="00610156" w:rsidRPr="00573FA5" w:rsidRDefault="00CA3C6F" w:rsidP="00610156">
      <w:pPr>
        <w:pStyle w:val="Default"/>
        <w:ind w:left="720" w:right="720"/>
        <w:contextualSpacing/>
        <w:jc w:val="both"/>
        <w:rPr>
          <w:rFonts w:ascii="Century Schoolbook" w:hAnsi="Century Schoolbook"/>
          <w:i/>
          <w:color w:val="auto"/>
        </w:rPr>
      </w:pPr>
      <w:r w:rsidRPr="00573FA5">
        <w:rPr>
          <w:rFonts w:ascii="Century Schoolbook" w:hAnsi="Century Schoolbook"/>
          <w:smallCaps/>
          <w:color w:val="auto"/>
        </w:rPr>
        <w:t>Best Practice 15C</w:t>
      </w:r>
      <w:r w:rsidRPr="00573FA5">
        <w:rPr>
          <w:rFonts w:ascii="Century Schoolbook" w:hAnsi="Century Schoolbook"/>
          <w:color w:val="auto"/>
        </w:rPr>
        <w:t>: The parties should advise the transferee judge of any reserve allocated in the settlement to pay for extraordinary injuries.</w:t>
      </w:r>
      <w:r w:rsidRPr="00573FA5">
        <w:rPr>
          <w:rFonts w:ascii="Century Schoolbook" w:hAnsi="Century Schoolbook"/>
          <w:i/>
          <w:color w:val="auto"/>
        </w:rPr>
        <w:br/>
      </w:r>
    </w:p>
    <w:p w:rsidR="00610156" w:rsidRPr="00573FA5" w:rsidRDefault="00CA3C6F" w:rsidP="00610156">
      <w:pPr>
        <w:pStyle w:val="Default"/>
        <w:ind w:firstLine="720"/>
        <w:contextualSpacing/>
        <w:rPr>
          <w:rFonts w:ascii="Century Schoolbook" w:hAnsi="Century Schoolbook"/>
          <w:color w:val="auto"/>
        </w:rPr>
      </w:pPr>
      <w:r w:rsidRPr="00573FA5">
        <w:rPr>
          <w:rFonts w:ascii="Century Schoolbook" w:hAnsi="Century Schoolbook"/>
          <w:color w:val="auto"/>
        </w:rPr>
        <w:t xml:space="preserve">A certain percentage of </w:t>
      </w:r>
      <w:r w:rsidR="00AF5D93">
        <w:rPr>
          <w:rFonts w:ascii="Century Schoolbook" w:hAnsi="Century Schoolbook"/>
          <w:color w:val="auto"/>
        </w:rPr>
        <w:t>the s</w:t>
      </w:r>
      <w:r w:rsidRPr="00573FA5">
        <w:rPr>
          <w:rFonts w:ascii="Century Schoolbook" w:hAnsi="Century Schoolbook"/>
          <w:color w:val="auto"/>
        </w:rPr>
        <w:t>ettlement amount</w:t>
      </w:r>
      <w:r>
        <w:rPr>
          <w:rFonts w:ascii="Century Schoolbook" w:hAnsi="Century Schoolbook"/>
          <w:color w:val="auto"/>
        </w:rPr>
        <w:t>s</w:t>
      </w:r>
      <w:r w:rsidRPr="00573FA5">
        <w:rPr>
          <w:rFonts w:ascii="Century Schoolbook" w:hAnsi="Century Schoolbook"/>
          <w:color w:val="auto"/>
        </w:rPr>
        <w:t xml:space="preserve"> is often placed in an Extraordinary Injury Fund (“EIF”) to compensate plaintiffs who can demonstrate unique circumstances justifying a higher settlement distribution. This reserve, often equal to ten percent of the aggregate settlement amount, </w:t>
      </w:r>
      <w:r>
        <w:rPr>
          <w:rFonts w:ascii="Century Schoolbook" w:hAnsi="Century Schoolbook"/>
          <w:color w:val="auto"/>
        </w:rPr>
        <w:t xml:space="preserve">can be </w:t>
      </w:r>
      <w:r w:rsidRPr="00573FA5">
        <w:rPr>
          <w:rFonts w:ascii="Century Schoolbook" w:hAnsi="Century Schoolbook"/>
          <w:color w:val="auto"/>
        </w:rPr>
        <w:t xml:space="preserve">either part of the total settlement or a bonus. </w:t>
      </w:r>
      <w:r>
        <w:rPr>
          <w:rFonts w:ascii="Century Schoolbook" w:hAnsi="Century Schoolbook"/>
          <w:color w:val="auto"/>
        </w:rPr>
        <w:t xml:space="preserve">If </w:t>
      </w:r>
      <w:r w:rsidRPr="00573FA5">
        <w:rPr>
          <w:rFonts w:ascii="Century Schoolbook" w:hAnsi="Century Schoolbook"/>
          <w:color w:val="auto"/>
        </w:rPr>
        <w:t>the reserve is part of the settlement</w:t>
      </w:r>
      <w:r>
        <w:rPr>
          <w:rFonts w:ascii="Century Schoolbook" w:hAnsi="Century Schoolbook"/>
          <w:color w:val="auto"/>
        </w:rPr>
        <w:t>,</w:t>
      </w:r>
      <w:r w:rsidRPr="00573FA5">
        <w:rPr>
          <w:rFonts w:ascii="Century Schoolbook" w:hAnsi="Century Schoolbook"/>
          <w:color w:val="auto"/>
        </w:rPr>
        <w:t xml:space="preserve"> </w:t>
      </w:r>
      <w:r>
        <w:rPr>
          <w:rFonts w:ascii="Century Schoolbook" w:hAnsi="Century Schoolbook"/>
          <w:color w:val="auto"/>
        </w:rPr>
        <w:t xml:space="preserve">it </w:t>
      </w:r>
      <w:r w:rsidRPr="00573FA5">
        <w:rPr>
          <w:rFonts w:ascii="Century Schoolbook" w:hAnsi="Century Schoolbook"/>
          <w:color w:val="auto"/>
        </w:rPr>
        <w:t xml:space="preserve">should be exhausted. A bonus </w:t>
      </w:r>
      <w:r>
        <w:rPr>
          <w:rFonts w:ascii="Century Schoolbook" w:hAnsi="Century Schoolbook"/>
          <w:color w:val="auto"/>
        </w:rPr>
        <w:t>need not be, with the excess usually reverting to the settling defendant</w:t>
      </w:r>
      <w:r w:rsidRPr="00573FA5">
        <w:rPr>
          <w:rFonts w:ascii="Century Schoolbook" w:hAnsi="Century Schoolbook"/>
          <w:color w:val="auto"/>
        </w:rPr>
        <w:t>.</w:t>
      </w:r>
    </w:p>
    <w:p w:rsidR="00610156" w:rsidRPr="00573FA5" w:rsidRDefault="00610156" w:rsidP="00610156">
      <w:pPr>
        <w:pStyle w:val="Default"/>
        <w:ind w:right="720" w:firstLine="720"/>
        <w:contextualSpacing/>
        <w:rPr>
          <w:rFonts w:ascii="Century Schoolbook" w:hAnsi="Century Schoolbook"/>
          <w:color w:val="auto"/>
        </w:rPr>
      </w:pPr>
    </w:p>
    <w:p w:rsidR="00610156" w:rsidRPr="00573FA5" w:rsidRDefault="00CA3C6F" w:rsidP="00610156">
      <w:pPr>
        <w:pStyle w:val="Default"/>
        <w:ind w:firstLine="720"/>
        <w:contextualSpacing/>
        <w:rPr>
          <w:rFonts w:ascii="Century Schoolbook" w:hAnsi="Century Schoolbook"/>
          <w:smallCaps/>
          <w:color w:val="auto"/>
        </w:rPr>
      </w:pPr>
      <w:r w:rsidRPr="00573FA5">
        <w:rPr>
          <w:rFonts w:ascii="Century Schoolbook" w:hAnsi="Century Schoolbook"/>
          <w:color w:val="auto"/>
        </w:rPr>
        <w:t xml:space="preserve">Special masters are routinely engaged to assist with the allocation process or hear appeals from plaintiffs who are unhappy with their allocation amounts. </w:t>
      </w:r>
      <w:r>
        <w:rPr>
          <w:rFonts w:ascii="Century Schoolbook" w:hAnsi="Century Schoolbook"/>
          <w:color w:val="auto"/>
        </w:rPr>
        <w:t xml:space="preserve">Special master involvement </w:t>
      </w:r>
      <w:r w:rsidRPr="00573FA5">
        <w:rPr>
          <w:rFonts w:ascii="Century Schoolbook" w:hAnsi="Century Schoolbook"/>
          <w:color w:val="auto"/>
        </w:rPr>
        <w:t>ensures an independent review of claims.</w:t>
      </w:r>
      <w:r w:rsidRPr="00573FA5">
        <w:rPr>
          <w:rFonts w:ascii="Century Schoolbook" w:hAnsi="Century Schoolbook"/>
          <w:smallCaps/>
          <w:color w:val="auto"/>
        </w:rPr>
        <w:t xml:space="preserve"> </w:t>
      </w:r>
    </w:p>
    <w:p w:rsidR="00610156" w:rsidRPr="00573FA5" w:rsidRDefault="00610156" w:rsidP="00610156">
      <w:pPr>
        <w:pStyle w:val="Default"/>
        <w:ind w:right="720" w:firstLine="720"/>
        <w:contextualSpacing/>
        <w:rPr>
          <w:rFonts w:ascii="Century Schoolbook" w:hAnsi="Century Schoolbook"/>
          <w:smallCaps/>
          <w:color w:val="auto"/>
        </w:rPr>
      </w:pPr>
    </w:p>
    <w:p w:rsidR="00610156" w:rsidRPr="00573FA5" w:rsidRDefault="00CA3C6F" w:rsidP="00610156">
      <w:pPr>
        <w:pStyle w:val="Default"/>
        <w:ind w:left="720" w:right="720"/>
        <w:contextualSpacing/>
        <w:jc w:val="both"/>
        <w:rPr>
          <w:rFonts w:ascii="Century Schoolbook" w:hAnsi="Century Schoolbook"/>
          <w:b/>
          <w:color w:val="auto"/>
        </w:rPr>
      </w:pPr>
      <w:r w:rsidRPr="00573FA5">
        <w:rPr>
          <w:rFonts w:ascii="Century Schoolbook" w:hAnsi="Century Schoolbook"/>
          <w:b/>
          <w:smallCaps/>
          <w:color w:val="auto"/>
        </w:rPr>
        <w:t>MDL Standard 16</w:t>
      </w:r>
      <w:r w:rsidRPr="00573FA5">
        <w:rPr>
          <w:rFonts w:ascii="Century Schoolbook" w:hAnsi="Century Schoolbook"/>
          <w:b/>
          <w:color w:val="auto"/>
        </w:rPr>
        <w:t xml:space="preserve">: </w:t>
      </w:r>
      <w:r w:rsidRPr="00573FA5">
        <w:rPr>
          <w:rFonts w:ascii="Century Schoolbook" w:hAnsi="Century Schoolbook"/>
          <w:color w:val="auto"/>
        </w:rPr>
        <w:t xml:space="preserve">The transferee judge should review the claims process to help facilitate </w:t>
      </w:r>
      <w:r>
        <w:rPr>
          <w:rFonts w:ascii="Century Schoolbook" w:hAnsi="Century Schoolbook"/>
          <w:color w:val="auto"/>
        </w:rPr>
        <w:t xml:space="preserve">claims </w:t>
      </w:r>
      <w:r w:rsidRPr="00573FA5">
        <w:rPr>
          <w:rFonts w:ascii="Century Schoolbook" w:hAnsi="Century Schoolbook"/>
          <w:color w:val="auto"/>
        </w:rPr>
        <w:t xml:space="preserve">processing and </w:t>
      </w:r>
      <w:r>
        <w:rPr>
          <w:rFonts w:ascii="Century Schoolbook" w:hAnsi="Century Schoolbook"/>
          <w:color w:val="auto"/>
        </w:rPr>
        <w:t xml:space="preserve">settlement </w:t>
      </w:r>
      <w:r w:rsidRPr="00573FA5">
        <w:rPr>
          <w:rFonts w:ascii="Century Schoolbook" w:hAnsi="Century Schoolbook"/>
          <w:color w:val="auto"/>
        </w:rPr>
        <w:t>distribut</w:t>
      </w:r>
      <w:r>
        <w:rPr>
          <w:rFonts w:ascii="Century Schoolbook" w:hAnsi="Century Schoolbook"/>
          <w:color w:val="auto"/>
        </w:rPr>
        <w:t>ion</w:t>
      </w:r>
      <w:r w:rsidRPr="00573FA5">
        <w:rPr>
          <w:rFonts w:ascii="Century Schoolbook" w:hAnsi="Century Schoolbook"/>
          <w:color w:val="auto"/>
        </w:rPr>
        <w:t>.</w:t>
      </w:r>
    </w:p>
    <w:p w:rsidR="00610156" w:rsidRPr="00573FA5" w:rsidRDefault="00610156" w:rsidP="00610156">
      <w:pPr>
        <w:pStyle w:val="Default"/>
        <w:ind w:left="720" w:right="720"/>
        <w:contextualSpacing/>
        <w:rPr>
          <w:rFonts w:ascii="Century Schoolbook" w:hAnsi="Century Schoolbook"/>
          <w:color w:val="auto"/>
        </w:rPr>
      </w:pPr>
    </w:p>
    <w:p w:rsidR="00610156" w:rsidRPr="00573FA5" w:rsidRDefault="00CA3C6F" w:rsidP="00610156">
      <w:pPr>
        <w:pStyle w:val="Default"/>
        <w:ind w:firstLine="720"/>
        <w:contextualSpacing/>
        <w:rPr>
          <w:rFonts w:ascii="Century Schoolbook" w:hAnsi="Century Schoolbook"/>
          <w:color w:val="auto"/>
        </w:rPr>
      </w:pPr>
      <w:r w:rsidRPr="00573FA5">
        <w:rPr>
          <w:rFonts w:ascii="Century Schoolbook" w:hAnsi="Century Schoolbook"/>
          <w:color w:val="auto"/>
        </w:rPr>
        <w:t xml:space="preserve">Distribution of settlement proceeds to a large number of eligible claimants in an MDL can take </w:t>
      </w:r>
      <w:r>
        <w:rPr>
          <w:rFonts w:ascii="Century Schoolbook" w:hAnsi="Century Schoolbook"/>
          <w:color w:val="auto"/>
        </w:rPr>
        <w:t>several</w:t>
      </w:r>
      <w:r w:rsidRPr="00573FA5">
        <w:rPr>
          <w:rFonts w:ascii="Century Schoolbook" w:hAnsi="Century Schoolbook"/>
          <w:color w:val="auto"/>
        </w:rPr>
        <w:t xml:space="preserve"> years. </w:t>
      </w:r>
      <w:r>
        <w:rPr>
          <w:rFonts w:ascii="Century Schoolbook" w:hAnsi="Century Schoolbook"/>
          <w:color w:val="auto"/>
        </w:rPr>
        <w:t xml:space="preserve"> </w:t>
      </w:r>
      <w:r w:rsidRPr="00573FA5">
        <w:rPr>
          <w:rFonts w:ascii="Century Schoolbook" w:hAnsi="Century Schoolbook"/>
          <w:color w:val="auto"/>
        </w:rPr>
        <w:t xml:space="preserve">Two factors are the principal causes of delay: (1) time necessary to review submitted claims, </w:t>
      </w:r>
      <w:r>
        <w:rPr>
          <w:rFonts w:ascii="Century Schoolbook" w:hAnsi="Century Schoolbook"/>
          <w:color w:val="auto"/>
        </w:rPr>
        <w:t xml:space="preserve">to </w:t>
      </w:r>
      <w:r w:rsidRPr="00573FA5">
        <w:rPr>
          <w:rFonts w:ascii="Century Schoolbook" w:hAnsi="Century Schoolbook"/>
          <w:color w:val="auto"/>
        </w:rPr>
        <w:t xml:space="preserve">verify that criteria are met, </w:t>
      </w:r>
      <w:r>
        <w:rPr>
          <w:rFonts w:ascii="Century Schoolbook" w:hAnsi="Century Schoolbook"/>
          <w:color w:val="auto"/>
        </w:rPr>
        <w:t xml:space="preserve">to </w:t>
      </w:r>
      <w:r w:rsidRPr="00573FA5">
        <w:rPr>
          <w:rFonts w:ascii="Century Schoolbook" w:hAnsi="Century Schoolbook"/>
          <w:color w:val="auto"/>
        </w:rPr>
        <w:t xml:space="preserve">resolve eligibility disputes, and </w:t>
      </w:r>
      <w:r>
        <w:rPr>
          <w:rFonts w:ascii="Century Schoolbook" w:hAnsi="Century Schoolbook"/>
          <w:color w:val="auto"/>
        </w:rPr>
        <w:t xml:space="preserve">to </w:t>
      </w:r>
      <w:r w:rsidRPr="00573FA5">
        <w:rPr>
          <w:rFonts w:ascii="Century Schoolbook" w:hAnsi="Century Schoolbook"/>
          <w:color w:val="auto"/>
        </w:rPr>
        <w:t xml:space="preserve">make proper allocations; and (2) time consumed in resolving liens against the individual settlement payouts, typically health care liens (including Medicare). </w:t>
      </w:r>
    </w:p>
    <w:p w:rsidR="00610156" w:rsidRPr="00573FA5" w:rsidRDefault="00610156" w:rsidP="00610156">
      <w:pPr>
        <w:pStyle w:val="Default"/>
        <w:ind w:left="720" w:right="720"/>
        <w:contextualSpacing/>
        <w:rPr>
          <w:rFonts w:ascii="Century Schoolbook" w:hAnsi="Century Schoolbook"/>
          <w:smallCaps/>
          <w:color w:val="auto"/>
        </w:rPr>
      </w:pPr>
    </w:p>
    <w:p w:rsidR="00610156" w:rsidRPr="00573FA5" w:rsidRDefault="00CA3C6F" w:rsidP="00610156">
      <w:pPr>
        <w:pStyle w:val="Default"/>
        <w:ind w:left="720" w:right="720"/>
        <w:contextualSpacing/>
        <w:jc w:val="both"/>
        <w:rPr>
          <w:rFonts w:ascii="Century Schoolbook" w:hAnsi="Century Schoolbook"/>
          <w:i/>
          <w:color w:val="auto"/>
        </w:rPr>
      </w:pPr>
      <w:r w:rsidRPr="00573FA5">
        <w:rPr>
          <w:rFonts w:ascii="Century Schoolbook" w:hAnsi="Century Schoolbook"/>
          <w:smallCaps/>
          <w:color w:val="auto"/>
        </w:rPr>
        <w:t xml:space="preserve">Best Practice </w:t>
      </w:r>
      <w:r w:rsidRPr="00573FA5">
        <w:rPr>
          <w:rFonts w:ascii="Century Schoolbook" w:hAnsi="Century Schoolbook"/>
          <w:smallCaps/>
        </w:rPr>
        <w:t>16A</w:t>
      </w:r>
      <w:r w:rsidRPr="00573FA5">
        <w:rPr>
          <w:rFonts w:ascii="Century Schoolbook" w:hAnsi="Century Schoolbook"/>
        </w:rPr>
        <w:t>: In a large MDL involving many claimants, a Qualified Settlement Fund (“QSF”) provide</w:t>
      </w:r>
      <w:r>
        <w:rPr>
          <w:rFonts w:ascii="Century Schoolbook" w:hAnsi="Century Schoolbook"/>
        </w:rPr>
        <w:t>s</w:t>
      </w:r>
      <w:r w:rsidRPr="00573FA5">
        <w:rPr>
          <w:rFonts w:ascii="Century Schoolbook" w:hAnsi="Century Schoolbook"/>
        </w:rPr>
        <w:t xml:space="preserve"> significant administrative convenience for the court and parties and offers favorable tax advantages to the parties.</w:t>
      </w:r>
      <w:r w:rsidRPr="00573FA5">
        <w:rPr>
          <w:rFonts w:ascii="Century Schoolbook" w:hAnsi="Century Schoolbook"/>
          <w:i/>
          <w:color w:val="auto"/>
        </w:rPr>
        <w:t xml:space="preserve"> </w:t>
      </w:r>
    </w:p>
    <w:p w:rsidR="00610156" w:rsidRPr="00573FA5" w:rsidRDefault="00610156" w:rsidP="00610156">
      <w:pPr>
        <w:pStyle w:val="Default"/>
        <w:ind w:left="720" w:right="720"/>
        <w:contextualSpacing/>
        <w:rPr>
          <w:rFonts w:ascii="Century Schoolbook" w:hAnsi="Century Schoolbook"/>
          <w:color w:val="auto"/>
        </w:rPr>
      </w:pPr>
    </w:p>
    <w:p w:rsidR="00610156" w:rsidRPr="00573FA5" w:rsidRDefault="00CA3C6F" w:rsidP="00610156">
      <w:pPr>
        <w:pStyle w:val="Default"/>
        <w:ind w:firstLine="720"/>
        <w:contextualSpacing/>
        <w:rPr>
          <w:rFonts w:ascii="Century Schoolbook" w:hAnsi="Century Schoolbook"/>
          <w:color w:val="auto"/>
        </w:rPr>
      </w:pPr>
      <w:r w:rsidRPr="00573FA5">
        <w:rPr>
          <w:rFonts w:ascii="Century Schoolbook" w:hAnsi="Century Schoolbook"/>
          <w:color w:val="auto"/>
        </w:rPr>
        <w:t>After the parties agree to a settlement, a defendant typically deposits settlement monies in an escrow account</w:t>
      </w:r>
      <w:r>
        <w:rPr>
          <w:rFonts w:ascii="Century Schoolbook" w:hAnsi="Century Schoolbook"/>
          <w:color w:val="auto"/>
        </w:rPr>
        <w:t xml:space="preserve">, making funds </w:t>
      </w:r>
      <w:r w:rsidRPr="00573FA5">
        <w:rPr>
          <w:rFonts w:ascii="Century Schoolbook" w:hAnsi="Century Schoolbook"/>
          <w:color w:val="auto"/>
        </w:rPr>
        <w:t xml:space="preserve">available for disbursement </w:t>
      </w:r>
      <w:r>
        <w:rPr>
          <w:rFonts w:ascii="Century Schoolbook" w:hAnsi="Century Schoolbook"/>
          <w:color w:val="auto"/>
        </w:rPr>
        <w:t xml:space="preserve">to </w:t>
      </w:r>
      <w:r w:rsidRPr="00573FA5">
        <w:rPr>
          <w:rFonts w:ascii="Century Schoolbook" w:hAnsi="Century Schoolbook"/>
          <w:color w:val="auto"/>
        </w:rPr>
        <w:t xml:space="preserve">settlement-eligible plaintiffs </w:t>
      </w:r>
      <w:r>
        <w:rPr>
          <w:rFonts w:ascii="Century Schoolbook" w:hAnsi="Century Schoolbook"/>
          <w:color w:val="auto"/>
        </w:rPr>
        <w:t xml:space="preserve">who </w:t>
      </w:r>
      <w:r w:rsidRPr="00573FA5">
        <w:rPr>
          <w:rFonts w:ascii="Century Schoolbook" w:hAnsi="Century Schoolbook"/>
          <w:color w:val="auto"/>
        </w:rPr>
        <w:t xml:space="preserve">have accepted their settlement allocations and executed the required settlement documents. </w:t>
      </w:r>
    </w:p>
    <w:p w:rsidR="00610156" w:rsidRPr="00573FA5" w:rsidRDefault="00610156" w:rsidP="00610156">
      <w:pPr>
        <w:pStyle w:val="Default"/>
        <w:ind w:firstLine="720"/>
        <w:contextualSpacing/>
        <w:rPr>
          <w:rFonts w:ascii="Century Schoolbook" w:hAnsi="Century Schoolbook"/>
          <w:color w:val="auto"/>
        </w:rPr>
      </w:pPr>
    </w:p>
    <w:p w:rsidR="00610156" w:rsidRPr="00573FA5" w:rsidRDefault="00CA3C6F" w:rsidP="00610156">
      <w:pPr>
        <w:pStyle w:val="Default"/>
        <w:ind w:firstLine="720"/>
        <w:contextualSpacing/>
        <w:rPr>
          <w:rFonts w:ascii="Century Schoolbook" w:hAnsi="Century Schoolbook"/>
          <w:color w:val="auto"/>
        </w:rPr>
      </w:pPr>
      <w:r w:rsidRPr="00573FA5">
        <w:rPr>
          <w:rFonts w:ascii="Century Schoolbook" w:hAnsi="Century Schoolbook"/>
          <w:color w:val="auto"/>
        </w:rPr>
        <w:t>A QSF is a fund, account, or trust established under Treasury Regulations.</w:t>
      </w:r>
      <w:r>
        <w:rPr>
          <w:rStyle w:val="FootnoteReference"/>
          <w:rFonts w:ascii="Century Schoolbook" w:hAnsi="Century Schoolbook"/>
          <w:color w:val="auto"/>
        </w:rPr>
        <w:footnoteReference w:id="48"/>
      </w:r>
      <w:r w:rsidRPr="00573FA5">
        <w:rPr>
          <w:rFonts w:ascii="Century Schoolbook" w:hAnsi="Century Schoolbook"/>
          <w:color w:val="auto"/>
        </w:rPr>
        <w:t xml:space="preserve"> The funds deposited into the QSF are the sole property of the QSF</w:t>
      </w:r>
      <w:r>
        <w:rPr>
          <w:rFonts w:ascii="Century Schoolbook" w:hAnsi="Century Schoolbook"/>
          <w:color w:val="auto"/>
        </w:rPr>
        <w:t xml:space="preserve">.  </w:t>
      </w:r>
      <w:r w:rsidRPr="00573FA5">
        <w:rPr>
          <w:rFonts w:ascii="Century Schoolbook" w:hAnsi="Century Schoolbook"/>
          <w:color w:val="auto"/>
        </w:rPr>
        <w:t xml:space="preserve">The QSF is responsible for investing and for paying income taxes on fund earnings. </w:t>
      </w:r>
      <w:r>
        <w:rPr>
          <w:rFonts w:ascii="Century Schoolbook" w:hAnsi="Century Schoolbook"/>
          <w:color w:val="auto"/>
        </w:rPr>
        <w:t>D</w:t>
      </w:r>
      <w:r w:rsidRPr="00573FA5">
        <w:rPr>
          <w:rFonts w:ascii="Century Schoolbook" w:hAnsi="Century Schoolbook"/>
          <w:color w:val="auto"/>
        </w:rPr>
        <w:t xml:space="preserve">istributions to claimants can be made only in accordance with the settlement agreement. This </w:t>
      </w:r>
      <w:r>
        <w:rPr>
          <w:rFonts w:ascii="Century Schoolbook" w:hAnsi="Century Schoolbook"/>
          <w:color w:val="auto"/>
        </w:rPr>
        <w:t xml:space="preserve">arrangement </w:t>
      </w:r>
      <w:r w:rsidRPr="00573FA5">
        <w:rPr>
          <w:rFonts w:ascii="Century Schoolbook" w:hAnsi="Century Schoolbook"/>
          <w:color w:val="auto"/>
        </w:rPr>
        <w:t xml:space="preserve">prevents claimants for whose benefit the fund is created from taking constructive receipt of settlement monies before they are disbursed. This option is particularly attractive to claimants who would otherwise lose eligibility for Medicaid and other needs-based government benefits. </w:t>
      </w:r>
    </w:p>
    <w:p w:rsidR="00610156" w:rsidRDefault="00610156" w:rsidP="00610156">
      <w:pPr>
        <w:pStyle w:val="Default"/>
        <w:ind w:firstLine="720"/>
        <w:contextualSpacing/>
        <w:rPr>
          <w:rFonts w:ascii="Century Schoolbook" w:hAnsi="Century Schoolbook"/>
          <w:color w:val="auto"/>
        </w:rPr>
      </w:pPr>
    </w:p>
    <w:p w:rsidR="00610156" w:rsidRDefault="00CA3C6F" w:rsidP="00610156">
      <w:pPr>
        <w:pStyle w:val="Default"/>
        <w:ind w:firstLine="720"/>
        <w:contextualSpacing/>
        <w:rPr>
          <w:rFonts w:ascii="Century Schoolbook" w:hAnsi="Century Schoolbook"/>
          <w:color w:val="auto"/>
        </w:rPr>
      </w:pPr>
      <w:r w:rsidRPr="00573FA5">
        <w:rPr>
          <w:rFonts w:ascii="Century Schoolbook" w:hAnsi="Century Schoolbook"/>
          <w:color w:val="auto"/>
        </w:rPr>
        <w:t xml:space="preserve">The QSF option affords claimants </w:t>
      </w:r>
      <w:r>
        <w:rPr>
          <w:rFonts w:ascii="Century Schoolbook" w:hAnsi="Century Schoolbook"/>
          <w:color w:val="auto"/>
        </w:rPr>
        <w:t>the ability</w:t>
      </w:r>
      <w:r w:rsidRPr="00573FA5">
        <w:rPr>
          <w:rFonts w:ascii="Century Schoolbook" w:hAnsi="Century Schoolbook"/>
          <w:color w:val="auto"/>
        </w:rPr>
        <w:t xml:space="preserve"> to address complications</w:t>
      </w:r>
      <w:r>
        <w:rPr>
          <w:rFonts w:ascii="Century Schoolbook" w:hAnsi="Century Schoolbook"/>
          <w:color w:val="auto"/>
        </w:rPr>
        <w:t xml:space="preserve"> that can arise from </w:t>
      </w:r>
      <w:r w:rsidRPr="00573FA5">
        <w:rPr>
          <w:rFonts w:ascii="Century Schoolbook" w:hAnsi="Century Schoolbook"/>
          <w:color w:val="auto"/>
        </w:rPr>
        <w:t>receipt of settlement monies</w:t>
      </w:r>
      <w:r>
        <w:rPr>
          <w:rFonts w:ascii="Century Schoolbook" w:hAnsi="Century Schoolbook"/>
          <w:color w:val="auto"/>
        </w:rPr>
        <w:t xml:space="preserve">, such as </w:t>
      </w:r>
      <w:r w:rsidRPr="00573FA5">
        <w:rPr>
          <w:rFonts w:ascii="Century Schoolbook" w:hAnsi="Century Schoolbook"/>
          <w:color w:val="auto"/>
        </w:rPr>
        <w:t xml:space="preserve">on public assistance </w:t>
      </w:r>
      <w:r>
        <w:rPr>
          <w:rFonts w:ascii="Century Schoolbook" w:hAnsi="Century Schoolbook"/>
          <w:color w:val="auto"/>
        </w:rPr>
        <w:t xml:space="preserve">and other income-dependent </w:t>
      </w:r>
      <w:r w:rsidRPr="00573FA5">
        <w:rPr>
          <w:rFonts w:ascii="Century Schoolbook" w:hAnsi="Century Schoolbook"/>
          <w:color w:val="auto"/>
        </w:rPr>
        <w:t>benefits</w:t>
      </w:r>
      <w:r>
        <w:rPr>
          <w:rFonts w:ascii="Century Schoolbook" w:hAnsi="Century Schoolbook"/>
          <w:color w:val="auto"/>
        </w:rPr>
        <w:t>,</w:t>
      </w:r>
      <w:r w:rsidRPr="00573FA5">
        <w:rPr>
          <w:rFonts w:ascii="Century Schoolbook" w:hAnsi="Century Schoolbook"/>
          <w:color w:val="auto"/>
        </w:rPr>
        <w:t xml:space="preserve"> and </w:t>
      </w:r>
      <w:r>
        <w:rPr>
          <w:rFonts w:ascii="Century Schoolbook" w:hAnsi="Century Schoolbook"/>
          <w:color w:val="auto"/>
        </w:rPr>
        <w:t xml:space="preserve">to decide in what </w:t>
      </w:r>
      <w:r w:rsidRPr="00573FA5">
        <w:rPr>
          <w:rFonts w:ascii="Century Schoolbook" w:hAnsi="Century Schoolbook"/>
          <w:color w:val="auto"/>
        </w:rPr>
        <w:t xml:space="preserve">form </w:t>
      </w:r>
      <w:r>
        <w:rPr>
          <w:rFonts w:ascii="Century Schoolbook" w:hAnsi="Century Schoolbook"/>
          <w:color w:val="auto"/>
        </w:rPr>
        <w:t xml:space="preserve">to accept </w:t>
      </w:r>
      <w:r w:rsidRPr="00573FA5">
        <w:rPr>
          <w:rFonts w:ascii="Century Schoolbook" w:hAnsi="Century Schoolbook"/>
          <w:color w:val="auto"/>
        </w:rPr>
        <w:t xml:space="preserve">payments (i.e., lump sum payments or periodic payments over time). The </w:t>
      </w:r>
      <w:r>
        <w:rPr>
          <w:rFonts w:ascii="Century Schoolbook" w:hAnsi="Century Schoolbook"/>
          <w:color w:val="auto"/>
        </w:rPr>
        <w:t xml:space="preserve">settling </w:t>
      </w:r>
      <w:r w:rsidRPr="00573FA5">
        <w:rPr>
          <w:rFonts w:ascii="Century Schoolbook" w:hAnsi="Century Schoolbook"/>
          <w:color w:val="auto"/>
        </w:rPr>
        <w:t>defendant receive</w:t>
      </w:r>
      <w:r>
        <w:rPr>
          <w:rFonts w:ascii="Century Schoolbook" w:hAnsi="Century Schoolbook"/>
          <w:color w:val="auto"/>
        </w:rPr>
        <w:t>s</w:t>
      </w:r>
      <w:r w:rsidRPr="00573FA5">
        <w:rPr>
          <w:rFonts w:ascii="Century Schoolbook" w:hAnsi="Century Schoolbook"/>
          <w:color w:val="auto"/>
        </w:rPr>
        <w:t xml:space="preserve"> immediate tax deductions and benefits associated with making settlement payments. </w:t>
      </w:r>
    </w:p>
    <w:p w:rsidR="009E622F" w:rsidRDefault="009E622F" w:rsidP="00610156">
      <w:pPr>
        <w:pStyle w:val="Default"/>
        <w:ind w:firstLine="720"/>
        <w:contextualSpacing/>
        <w:rPr>
          <w:rFonts w:ascii="Century Schoolbook" w:hAnsi="Century Schoolbook"/>
          <w:color w:val="auto"/>
        </w:rPr>
      </w:pPr>
    </w:p>
    <w:p w:rsidR="009E622F" w:rsidRDefault="009E622F" w:rsidP="00610156">
      <w:pPr>
        <w:pStyle w:val="Default"/>
        <w:ind w:firstLine="720"/>
        <w:contextualSpacing/>
        <w:rPr>
          <w:rFonts w:ascii="Century Schoolbook" w:hAnsi="Century Schoolbook"/>
          <w:color w:val="auto"/>
        </w:rPr>
      </w:pPr>
    </w:p>
    <w:p w:rsidR="009E622F" w:rsidRDefault="009E622F" w:rsidP="00610156">
      <w:pPr>
        <w:pStyle w:val="Default"/>
        <w:ind w:firstLine="720"/>
        <w:contextualSpacing/>
        <w:rPr>
          <w:rFonts w:ascii="Century Schoolbook" w:hAnsi="Century Schoolbook"/>
          <w:color w:val="auto"/>
        </w:rPr>
      </w:pPr>
    </w:p>
    <w:p w:rsidR="009E622F" w:rsidRPr="00573FA5" w:rsidRDefault="009E622F" w:rsidP="00610156">
      <w:pPr>
        <w:pStyle w:val="Default"/>
        <w:ind w:firstLine="720"/>
        <w:contextualSpacing/>
        <w:rPr>
          <w:rFonts w:ascii="Century Schoolbook" w:hAnsi="Century Schoolbook"/>
          <w:color w:val="auto"/>
        </w:rPr>
      </w:pPr>
    </w:p>
    <w:p w:rsidR="00610156" w:rsidRPr="00573FA5" w:rsidRDefault="00610156" w:rsidP="00610156">
      <w:pPr>
        <w:pStyle w:val="Default"/>
        <w:ind w:left="720" w:right="720"/>
        <w:contextualSpacing/>
        <w:rPr>
          <w:rFonts w:ascii="Century Schoolbook" w:hAnsi="Century Schoolbook"/>
          <w:smallCaps/>
          <w:color w:val="auto"/>
        </w:rPr>
      </w:pPr>
    </w:p>
    <w:p w:rsidR="00610156" w:rsidRPr="00573FA5" w:rsidRDefault="00CA3C6F" w:rsidP="00610156">
      <w:pPr>
        <w:pStyle w:val="Default"/>
        <w:ind w:left="720" w:right="720"/>
        <w:contextualSpacing/>
        <w:jc w:val="both"/>
        <w:rPr>
          <w:rFonts w:ascii="Century Schoolbook" w:hAnsi="Century Schoolbook"/>
          <w:i/>
          <w:color w:val="auto"/>
        </w:rPr>
      </w:pPr>
      <w:r w:rsidRPr="00573FA5">
        <w:rPr>
          <w:rFonts w:ascii="Century Schoolbook" w:hAnsi="Century Schoolbook"/>
          <w:smallCaps/>
          <w:color w:val="auto"/>
        </w:rPr>
        <w:lastRenderedPageBreak/>
        <w:t>Best Practice 16B</w:t>
      </w:r>
      <w:r w:rsidRPr="00573FA5">
        <w:rPr>
          <w:rFonts w:ascii="Century Schoolbook" w:hAnsi="Century Schoolbook"/>
          <w:color w:val="auto"/>
        </w:rPr>
        <w:t>: The parties should file a joint or unopposed motion or stipulation asking the court to establish a QSF and appoint a QSF Administrator to manage funds, handle ongoing claims resolution, and work with the plaintiffs and their counsel to determine the QSF’s payout structure.</w:t>
      </w:r>
      <w:r w:rsidRPr="00573FA5">
        <w:rPr>
          <w:rFonts w:ascii="Century Schoolbook" w:hAnsi="Century Schoolbook"/>
          <w:i/>
          <w:color w:val="auto"/>
        </w:rPr>
        <w:t xml:space="preserve"> </w:t>
      </w:r>
    </w:p>
    <w:p w:rsidR="00610156" w:rsidRPr="00573FA5" w:rsidRDefault="00610156" w:rsidP="00610156">
      <w:pPr>
        <w:pStyle w:val="Default"/>
        <w:contextualSpacing/>
        <w:rPr>
          <w:rFonts w:ascii="Century Schoolbook" w:hAnsi="Century Schoolbook"/>
          <w:color w:val="auto"/>
        </w:rPr>
      </w:pPr>
    </w:p>
    <w:p w:rsidR="00610156" w:rsidRPr="00573FA5" w:rsidRDefault="00CA3C6F" w:rsidP="00610156">
      <w:pPr>
        <w:pStyle w:val="Default"/>
        <w:ind w:firstLine="720"/>
        <w:contextualSpacing/>
        <w:rPr>
          <w:rFonts w:ascii="Century Schoolbook" w:hAnsi="Century Schoolbook"/>
          <w:color w:val="auto"/>
        </w:rPr>
      </w:pPr>
      <w:r w:rsidRPr="00573FA5">
        <w:rPr>
          <w:rFonts w:ascii="Century Schoolbook" w:hAnsi="Century Schoolbook"/>
          <w:color w:val="auto"/>
        </w:rPr>
        <w:t xml:space="preserve">The QSF Administrator can be the plaintiffs’ counsel, but </w:t>
      </w:r>
      <w:r>
        <w:rPr>
          <w:rFonts w:ascii="Century Schoolbook" w:hAnsi="Century Schoolbook"/>
          <w:color w:val="auto"/>
        </w:rPr>
        <w:t xml:space="preserve">frequently it is more appropriate to appoint </w:t>
      </w:r>
      <w:r w:rsidRPr="00573FA5">
        <w:rPr>
          <w:rFonts w:ascii="Century Schoolbook" w:hAnsi="Century Schoolbook"/>
          <w:color w:val="auto"/>
        </w:rPr>
        <w:t xml:space="preserve">an independent, qualified professional. The QSF Administrator manages the funds, handles ongoing claim resolution, and works with the parties to determine the trust’s payout structure. The QSF administrator is typically paid based on a pre-established agreement with plaintiffs’ counsel from principal in the QSF, interest earned on the QSF, or as a portion of the MDL common-benefit fund (or a combination thereof). </w:t>
      </w:r>
    </w:p>
    <w:p w:rsidR="00610156" w:rsidRPr="00573FA5" w:rsidRDefault="00610156" w:rsidP="00610156">
      <w:pPr>
        <w:pStyle w:val="Default"/>
        <w:ind w:firstLine="720"/>
        <w:contextualSpacing/>
        <w:rPr>
          <w:rFonts w:ascii="Century Schoolbook" w:hAnsi="Century Schoolbook"/>
          <w:color w:val="auto"/>
        </w:rPr>
      </w:pPr>
    </w:p>
    <w:p w:rsidR="00610156" w:rsidRPr="00573FA5" w:rsidRDefault="00CA3C6F" w:rsidP="00610156">
      <w:pPr>
        <w:pStyle w:val="Default"/>
        <w:ind w:firstLine="720"/>
        <w:contextualSpacing/>
        <w:rPr>
          <w:rFonts w:ascii="Century Schoolbook" w:hAnsi="Century Schoolbook"/>
          <w:color w:val="auto"/>
        </w:rPr>
      </w:pPr>
      <w:r w:rsidRPr="00573FA5">
        <w:rPr>
          <w:rFonts w:ascii="Century Schoolbook" w:hAnsi="Century Schoolbook"/>
          <w:color w:val="auto"/>
        </w:rPr>
        <w:t>Occasionally, a QSF can be created by other means, such a</w:t>
      </w:r>
      <w:r w:rsidR="00AF5D93">
        <w:rPr>
          <w:rFonts w:ascii="Century Schoolbook" w:hAnsi="Century Schoolbook"/>
          <w:color w:val="auto"/>
        </w:rPr>
        <w:t>s a</w:t>
      </w:r>
      <w:r w:rsidRPr="00573FA5">
        <w:rPr>
          <w:rFonts w:ascii="Century Schoolbook" w:hAnsi="Century Schoolbook"/>
          <w:color w:val="auto"/>
        </w:rPr>
        <w:t xml:space="preserve"> court order approving a settlement agreement that requires a QSF. And because a QSF is subject to the continuing supervision of a court, the documents creating the QSF often provide for the court’s review of the process, which is flexible enough to permit the court as much supervision as is deemed appropriate and desired depending on the mechanics of a particular settlement. </w:t>
      </w:r>
    </w:p>
    <w:p w:rsidR="00610156" w:rsidRPr="00573FA5" w:rsidRDefault="00610156" w:rsidP="00610156">
      <w:pPr>
        <w:pStyle w:val="Default"/>
        <w:ind w:firstLine="720"/>
        <w:contextualSpacing/>
        <w:rPr>
          <w:rFonts w:ascii="Century Schoolbook" w:hAnsi="Century Schoolbook"/>
        </w:rPr>
      </w:pPr>
    </w:p>
    <w:p w:rsidR="00610156" w:rsidRPr="00573FA5" w:rsidRDefault="00CA3C6F" w:rsidP="00610156">
      <w:pPr>
        <w:pStyle w:val="ListParagraph"/>
        <w:ind w:right="720"/>
        <w:contextualSpacing/>
        <w:jc w:val="both"/>
        <w:rPr>
          <w:rFonts w:ascii="Century Schoolbook" w:hAnsi="Century Schoolbook"/>
          <w:sz w:val="24"/>
          <w:szCs w:val="24"/>
        </w:rPr>
      </w:pPr>
      <w:r w:rsidRPr="00573FA5">
        <w:rPr>
          <w:rFonts w:ascii="Century Schoolbook" w:hAnsi="Century Schoolbook"/>
          <w:b/>
          <w:smallCaps/>
          <w:sz w:val="24"/>
          <w:szCs w:val="24"/>
        </w:rPr>
        <w:t>MDL Standard 17</w:t>
      </w:r>
      <w:r w:rsidRPr="00573FA5">
        <w:rPr>
          <w:rFonts w:ascii="Century Schoolbook" w:hAnsi="Century Schoolbook"/>
          <w:b/>
          <w:sz w:val="24"/>
          <w:szCs w:val="24"/>
        </w:rPr>
        <w:t xml:space="preserve">: </w:t>
      </w:r>
      <w:r w:rsidRPr="00573FA5">
        <w:rPr>
          <w:rFonts w:ascii="Century Schoolbook" w:hAnsi="Century Schoolbook"/>
          <w:sz w:val="24"/>
          <w:szCs w:val="24"/>
        </w:rPr>
        <w:t>The transferee judge and parties should collaborate in addressing lien resolution (including Medicare and Medicaid)</w:t>
      </w:r>
      <w:r>
        <w:rPr>
          <w:rFonts w:ascii="Century Schoolbook" w:hAnsi="Century Schoolbook"/>
          <w:sz w:val="24"/>
          <w:szCs w:val="24"/>
        </w:rPr>
        <w:t xml:space="preserve"> </w:t>
      </w:r>
      <w:r w:rsidRPr="00573FA5">
        <w:rPr>
          <w:rFonts w:ascii="Century Schoolbook" w:hAnsi="Century Schoolbook"/>
          <w:sz w:val="24"/>
          <w:szCs w:val="24"/>
        </w:rPr>
        <w:t xml:space="preserve">and instituting methods to minimize delays caused by </w:t>
      </w:r>
      <w:r>
        <w:rPr>
          <w:rFonts w:ascii="Century Schoolbook" w:hAnsi="Century Schoolbook"/>
          <w:sz w:val="24"/>
          <w:szCs w:val="24"/>
        </w:rPr>
        <w:t>such</w:t>
      </w:r>
      <w:r w:rsidRPr="00573FA5">
        <w:rPr>
          <w:rFonts w:ascii="Century Schoolbook" w:hAnsi="Century Schoolbook"/>
          <w:sz w:val="24"/>
          <w:szCs w:val="24"/>
        </w:rPr>
        <w:t xml:space="preserve"> resolution, especially health care liens.</w:t>
      </w:r>
      <w:r w:rsidRPr="00573FA5">
        <w:rPr>
          <w:rFonts w:ascii="Century Schoolbook" w:hAnsi="Century Schoolbook"/>
          <w:b/>
          <w:sz w:val="24"/>
          <w:szCs w:val="24"/>
        </w:rPr>
        <w:t xml:space="preserve"> </w:t>
      </w:r>
    </w:p>
    <w:p w:rsidR="00610156" w:rsidRPr="00573FA5" w:rsidRDefault="00610156" w:rsidP="00610156">
      <w:pPr>
        <w:pStyle w:val="ListParagraph"/>
        <w:contextualSpacing/>
        <w:rPr>
          <w:rFonts w:ascii="Century Schoolbook" w:hAnsi="Century Schoolbook"/>
          <w:sz w:val="24"/>
          <w:szCs w:val="24"/>
        </w:rPr>
      </w:pPr>
    </w:p>
    <w:p w:rsidR="00610156" w:rsidRPr="00573FA5" w:rsidRDefault="00CA3C6F" w:rsidP="00610156">
      <w:pPr>
        <w:ind w:firstLine="720"/>
        <w:contextualSpacing/>
        <w:rPr>
          <w:rFonts w:ascii="Century Schoolbook" w:hAnsi="Century Schoolbook"/>
          <w:sz w:val="24"/>
          <w:szCs w:val="24"/>
        </w:rPr>
      </w:pPr>
      <w:r w:rsidRPr="00573FA5">
        <w:rPr>
          <w:rFonts w:ascii="Century Schoolbook" w:hAnsi="Century Schoolbook"/>
          <w:sz w:val="24"/>
          <w:szCs w:val="24"/>
        </w:rPr>
        <w:t>MDL</w:t>
      </w:r>
      <w:r>
        <w:rPr>
          <w:rFonts w:ascii="Century Schoolbook" w:hAnsi="Century Schoolbook"/>
          <w:sz w:val="24"/>
          <w:szCs w:val="24"/>
        </w:rPr>
        <w:t>s</w:t>
      </w:r>
      <w:r w:rsidR="00AF5D93">
        <w:rPr>
          <w:rFonts w:ascii="Century Schoolbook" w:hAnsi="Century Schoolbook"/>
          <w:sz w:val="24"/>
          <w:szCs w:val="24"/>
        </w:rPr>
        <w:t xml:space="preserve"> that involve</w:t>
      </w:r>
      <w:r w:rsidRPr="00573FA5">
        <w:rPr>
          <w:rFonts w:ascii="Century Schoolbook" w:hAnsi="Century Schoolbook"/>
          <w:sz w:val="24"/>
          <w:szCs w:val="24"/>
        </w:rPr>
        <w:t xml:space="preserve"> personal </w:t>
      </w:r>
      <w:r>
        <w:rPr>
          <w:rFonts w:ascii="Century Schoolbook" w:hAnsi="Century Schoolbook"/>
          <w:sz w:val="24"/>
          <w:szCs w:val="24"/>
        </w:rPr>
        <w:t>i</w:t>
      </w:r>
      <w:r w:rsidRPr="00573FA5">
        <w:rPr>
          <w:rFonts w:ascii="Century Schoolbook" w:hAnsi="Century Schoolbook"/>
          <w:sz w:val="24"/>
          <w:szCs w:val="24"/>
        </w:rPr>
        <w:t xml:space="preserve">njury claims require parties and courts to </w:t>
      </w:r>
      <w:r>
        <w:rPr>
          <w:rFonts w:ascii="Century Schoolbook" w:hAnsi="Century Schoolbook"/>
          <w:sz w:val="24"/>
          <w:szCs w:val="24"/>
        </w:rPr>
        <w:t>address</w:t>
      </w:r>
      <w:r w:rsidRPr="00573FA5">
        <w:rPr>
          <w:rFonts w:ascii="Century Schoolbook" w:hAnsi="Century Schoolbook"/>
          <w:sz w:val="24"/>
          <w:szCs w:val="24"/>
        </w:rPr>
        <w:t xml:space="preserve"> healthcare liens, a challenging and not well-understood aspect of MDL settlement administration. Attention to healthcare liens early in the settlement process can streamline the settlement timeline, allow </w:t>
      </w:r>
      <w:r>
        <w:rPr>
          <w:rFonts w:ascii="Century Schoolbook" w:hAnsi="Century Schoolbook"/>
          <w:sz w:val="24"/>
          <w:szCs w:val="24"/>
        </w:rPr>
        <w:t>claimants to receive payment more quickly</w:t>
      </w:r>
      <w:r w:rsidRPr="00573FA5">
        <w:rPr>
          <w:rFonts w:ascii="Century Schoolbook" w:hAnsi="Century Schoolbook"/>
          <w:sz w:val="24"/>
          <w:szCs w:val="24"/>
        </w:rPr>
        <w:t>, reduce settlement-related disputes, conserve judic</w:t>
      </w:r>
      <w:r>
        <w:rPr>
          <w:rFonts w:ascii="Century Schoolbook" w:hAnsi="Century Schoolbook"/>
          <w:sz w:val="24"/>
          <w:szCs w:val="24"/>
        </w:rPr>
        <w:t>i</w:t>
      </w:r>
      <w:r w:rsidRPr="00573FA5">
        <w:rPr>
          <w:rFonts w:ascii="Century Schoolbook" w:hAnsi="Century Schoolbook"/>
          <w:sz w:val="24"/>
          <w:szCs w:val="24"/>
        </w:rPr>
        <w:t xml:space="preserve">al resources, and reduce the parties’ expenses. </w:t>
      </w:r>
    </w:p>
    <w:p w:rsidR="00610156" w:rsidRPr="00573FA5" w:rsidRDefault="00610156" w:rsidP="00610156">
      <w:pPr>
        <w:ind w:firstLine="720"/>
        <w:contextualSpacing/>
        <w:rPr>
          <w:rFonts w:ascii="Century Schoolbook" w:hAnsi="Century Schoolbook"/>
          <w:sz w:val="24"/>
          <w:szCs w:val="24"/>
        </w:rPr>
      </w:pPr>
    </w:p>
    <w:p w:rsidR="00610156" w:rsidRPr="00573FA5" w:rsidRDefault="00CA3C6F" w:rsidP="00610156">
      <w:pPr>
        <w:pStyle w:val="Default"/>
        <w:ind w:firstLine="720"/>
        <w:contextualSpacing/>
        <w:rPr>
          <w:rFonts w:ascii="Century Schoolbook" w:hAnsi="Century Schoolbook"/>
        </w:rPr>
      </w:pPr>
      <w:r w:rsidRPr="00573FA5">
        <w:rPr>
          <w:rFonts w:ascii="Century Schoolbook" w:hAnsi="Century Schoolbook"/>
        </w:rPr>
        <w:t>The parties’ and the court’s involvement in an MDL do</w:t>
      </w:r>
      <w:r>
        <w:rPr>
          <w:rFonts w:ascii="Century Schoolbook" w:hAnsi="Century Schoolbook"/>
        </w:rPr>
        <w:t>es</w:t>
      </w:r>
      <w:r w:rsidRPr="00573FA5">
        <w:rPr>
          <w:rFonts w:ascii="Century Schoolbook" w:hAnsi="Century Schoolbook"/>
        </w:rPr>
        <w:t xml:space="preserve"> not end when a settlement is reached. Typically, </w:t>
      </w:r>
      <w:r w:rsidR="00AF5D93">
        <w:rPr>
          <w:rFonts w:ascii="Century Schoolbook" w:hAnsi="Century Schoolbook"/>
        </w:rPr>
        <w:t xml:space="preserve">bringing all settlement administration processes to final conclusion -- </w:t>
      </w:r>
      <w:r w:rsidRPr="00573FA5">
        <w:rPr>
          <w:rFonts w:ascii="Century Schoolbook" w:hAnsi="Century Schoolbook"/>
        </w:rPr>
        <w:t xml:space="preserve">the settlement </w:t>
      </w:r>
      <w:r>
        <w:rPr>
          <w:rFonts w:ascii="Century Schoolbook" w:hAnsi="Century Schoolbook"/>
        </w:rPr>
        <w:t>“</w:t>
      </w:r>
      <w:r w:rsidRPr="00573FA5">
        <w:rPr>
          <w:rFonts w:ascii="Century Schoolbook" w:hAnsi="Century Schoolbook"/>
        </w:rPr>
        <w:t>tail</w:t>
      </w:r>
      <w:r>
        <w:rPr>
          <w:rFonts w:ascii="Century Schoolbook" w:hAnsi="Century Schoolbook"/>
        </w:rPr>
        <w:t>”</w:t>
      </w:r>
      <w:r w:rsidRPr="00573FA5">
        <w:rPr>
          <w:rFonts w:ascii="Century Schoolbook" w:hAnsi="Century Schoolbook"/>
        </w:rPr>
        <w:t xml:space="preserve"> </w:t>
      </w:r>
      <w:r w:rsidR="00AF5D93">
        <w:rPr>
          <w:rFonts w:ascii="Century Schoolbook" w:hAnsi="Century Schoolbook"/>
        </w:rPr>
        <w:t xml:space="preserve">-- </w:t>
      </w:r>
      <w:r w:rsidRPr="00573FA5">
        <w:rPr>
          <w:rFonts w:ascii="Century Schoolbook" w:hAnsi="Century Schoolbook"/>
        </w:rPr>
        <w:t xml:space="preserve">can be quite lengthy, although no specific data on settlement tails is readily available. </w:t>
      </w:r>
      <w:r>
        <w:rPr>
          <w:rFonts w:ascii="Century Schoolbook" w:hAnsi="Century Schoolbook"/>
        </w:rPr>
        <w:t xml:space="preserve"> </w:t>
      </w:r>
      <w:r w:rsidRPr="00573FA5">
        <w:rPr>
          <w:rFonts w:ascii="Century Schoolbook" w:hAnsi="Century Schoolbook"/>
        </w:rPr>
        <w:t xml:space="preserve">MDLs involving consumer claims generally have shorter settlement tails. </w:t>
      </w:r>
      <w:r>
        <w:rPr>
          <w:rFonts w:ascii="Century Schoolbook" w:hAnsi="Century Schoolbook"/>
        </w:rPr>
        <w:t>Time spent administering</w:t>
      </w:r>
      <w:r w:rsidRPr="00573FA5">
        <w:rPr>
          <w:rFonts w:ascii="Century Schoolbook" w:hAnsi="Century Schoolbook"/>
        </w:rPr>
        <w:t xml:space="preserve"> settlement</w:t>
      </w:r>
      <w:r>
        <w:rPr>
          <w:rFonts w:ascii="Century Schoolbook" w:hAnsi="Century Schoolbook"/>
        </w:rPr>
        <w:t>s</w:t>
      </w:r>
      <w:r w:rsidRPr="00573FA5">
        <w:rPr>
          <w:rFonts w:ascii="Century Schoolbook" w:hAnsi="Century Schoolbook"/>
        </w:rPr>
        <w:t xml:space="preserve"> can be </w:t>
      </w:r>
      <w:r>
        <w:rPr>
          <w:rFonts w:ascii="Century Schoolbook" w:hAnsi="Century Schoolbook"/>
        </w:rPr>
        <w:t>reduced</w:t>
      </w:r>
      <w:r w:rsidRPr="00573FA5">
        <w:rPr>
          <w:rFonts w:ascii="Century Schoolbook" w:hAnsi="Century Schoolbook"/>
        </w:rPr>
        <w:t xml:space="preserve"> with up-front planning of settlement mechanics that </w:t>
      </w:r>
      <w:r>
        <w:rPr>
          <w:rFonts w:ascii="Century Schoolbook" w:hAnsi="Century Schoolbook"/>
        </w:rPr>
        <w:t>anticipates</w:t>
      </w:r>
      <w:r w:rsidRPr="00573FA5">
        <w:rPr>
          <w:rFonts w:ascii="Century Schoolbook" w:hAnsi="Century Schoolbook"/>
        </w:rPr>
        <w:t xml:space="preserve"> lien issues and payment complications. </w:t>
      </w:r>
    </w:p>
    <w:p w:rsidR="00610156" w:rsidRPr="00573FA5" w:rsidRDefault="00610156" w:rsidP="00610156">
      <w:pPr>
        <w:pStyle w:val="Default"/>
        <w:ind w:firstLine="720"/>
        <w:contextualSpacing/>
        <w:rPr>
          <w:rFonts w:ascii="Century Schoolbook" w:hAnsi="Century Schoolbook"/>
        </w:rPr>
      </w:pPr>
    </w:p>
    <w:p w:rsidR="00610156" w:rsidRPr="00573FA5" w:rsidRDefault="00CA3C6F" w:rsidP="00610156">
      <w:pPr>
        <w:ind w:firstLine="720"/>
        <w:contextualSpacing/>
        <w:rPr>
          <w:rFonts w:ascii="Century Schoolbook" w:hAnsi="Century Schoolbook"/>
          <w:sz w:val="24"/>
          <w:szCs w:val="24"/>
        </w:rPr>
      </w:pPr>
      <w:r w:rsidRPr="00573FA5">
        <w:rPr>
          <w:rFonts w:ascii="Century Schoolbook" w:hAnsi="Century Schoolbook"/>
          <w:sz w:val="24"/>
          <w:szCs w:val="24"/>
        </w:rPr>
        <w:t xml:space="preserve">A lien is </w:t>
      </w:r>
      <w:r>
        <w:rPr>
          <w:rFonts w:ascii="Century Schoolbook" w:hAnsi="Century Schoolbook"/>
          <w:sz w:val="24"/>
          <w:szCs w:val="24"/>
        </w:rPr>
        <w:t>a</w:t>
      </w:r>
      <w:r w:rsidRPr="00573FA5">
        <w:rPr>
          <w:rFonts w:ascii="Century Schoolbook" w:hAnsi="Century Schoolbook"/>
          <w:sz w:val="24"/>
          <w:szCs w:val="24"/>
        </w:rPr>
        <w:t xml:space="preserve"> legal </w:t>
      </w:r>
      <w:r>
        <w:rPr>
          <w:rFonts w:ascii="Century Schoolbook" w:hAnsi="Century Schoolbook"/>
          <w:sz w:val="24"/>
          <w:szCs w:val="24"/>
        </w:rPr>
        <w:t xml:space="preserve">claim possessed by </w:t>
      </w:r>
      <w:r w:rsidRPr="00573FA5">
        <w:rPr>
          <w:rFonts w:ascii="Century Schoolbook" w:hAnsi="Century Schoolbook"/>
          <w:sz w:val="24"/>
          <w:szCs w:val="24"/>
        </w:rPr>
        <w:t xml:space="preserve">a healthcare insurer that paid for </w:t>
      </w:r>
      <w:r>
        <w:rPr>
          <w:rFonts w:ascii="Century Schoolbook" w:hAnsi="Century Schoolbook"/>
          <w:sz w:val="24"/>
          <w:szCs w:val="24"/>
        </w:rPr>
        <w:t xml:space="preserve">a plaintiff’s </w:t>
      </w:r>
      <w:r w:rsidRPr="00573FA5">
        <w:rPr>
          <w:rFonts w:ascii="Century Schoolbook" w:hAnsi="Century Schoolbook"/>
          <w:sz w:val="24"/>
          <w:szCs w:val="24"/>
        </w:rPr>
        <w:t xml:space="preserve">treatment </w:t>
      </w:r>
      <w:r>
        <w:rPr>
          <w:rFonts w:ascii="Century Schoolbook" w:hAnsi="Century Schoolbook"/>
          <w:sz w:val="24"/>
          <w:szCs w:val="24"/>
        </w:rPr>
        <w:t xml:space="preserve">for </w:t>
      </w:r>
      <w:r w:rsidRPr="00573FA5">
        <w:rPr>
          <w:rFonts w:ascii="Century Schoolbook" w:hAnsi="Century Schoolbook"/>
          <w:sz w:val="24"/>
          <w:szCs w:val="24"/>
        </w:rPr>
        <w:t xml:space="preserve">the alleged injury </w:t>
      </w:r>
      <w:r>
        <w:rPr>
          <w:rFonts w:ascii="Century Schoolbook" w:hAnsi="Century Schoolbook"/>
          <w:sz w:val="24"/>
          <w:szCs w:val="24"/>
        </w:rPr>
        <w:t xml:space="preserve">that is the subject </w:t>
      </w:r>
      <w:r w:rsidR="00AF5D93">
        <w:rPr>
          <w:rFonts w:ascii="Century Schoolbook" w:hAnsi="Century Schoolbook"/>
          <w:sz w:val="24"/>
          <w:szCs w:val="24"/>
        </w:rPr>
        <w:t xml:space="preserve">of </w:t>
      </w:r>
      <w:r>
        <w:rPr>
          <w:rFonts w:ascii="Century Schoolbook" w:hAnsi="Century Schoolbook"/>
          <w:sz w:val="24"/>
          <w:szCs w:val="24"/>
        </w:rPr>
        <w:t xml:space="preserve">a </w:t>
      </w:r>
      <w:r w:rsidRPr="00573FA5">
        <w:rPr>
          <w:rFonts w:ascii="Century Schoolbook" w:hAnsi="Century Schoolbook"/>
          <w:sz w:val="24"/>
          <w:szCs w:val="24"/>
        </w:rPr>
        <w:t>settlement</w:t>
      </w:r>
      <w:r>
        <w:rPr>
          <w:rFonts w:ascii="Century Schoolbook" w:hAnsi="Century Schoolbook"/>
          <w:sz w:val="24"/>
          <w:szCs w:val="24"/>
        </w:rPr>
        <w:t xml:space="preserve">.  The lien holder is entitled to reimbursement of </w:t>
      </w:r>
      <w:r w:rsidRPr="00573FA5">
        <w:rPr>
          <w:rFonts w:ascii="Century Schoolbook" w:hAnsi="Century Schoolbook"/>
          <w:sz w:val="24"/>
          <w:szCs w:val="24"/>
        </w:rPr>
        <w:t xml:space="preserve">the cost of such treatment from a </w:t>
      </w:r>
      <w:r w:rsidRPr="00573FA5">
        <w:rPr>
          <w:rFonts w:ascii="Century Schoolbook" w:hAnsi="Century Schoolbook"/>
          <w:sz w:val="24"/>
          <w:szCs w:val="24"/>
        </w:rPr>
        <w:lastRenderedPageBreak/>
        <w:t xml:space="preserve">plaintiff’s recovery. </w:t>
      </w:r>
      <w:r>
        <w:rPr>
          <w:rFonts w:ascii="Century Schoolbook" w:hAnsi="Century Schoolbook"/>
          <w:sz w:val="24"/>
          <w:szCs w:val="24"/>
        </w:rPr>
        <w:t>The</w:t>
      </w:r>
      <w:r w:rsidRPr="00573FA5">
        <w:rPr>
          <w:rFonts w:ascii="Century Schoolbook" w:hAnsi="Century Schoolbook"/>
          <w:sz w:val="24"/>
          <w:szCs w:val="24"/>
        </w:rPr>
        <w:t xml:space="preserve"> healthcare insurer may be the federal or a state government that provided coverage under Medicare, Medicaid, or some other program. The insurer also may be a private insurance carrier that provided coverage. The lien may be rooted in federal law, state law, contractual agreement between a plaintiff and insurer, or a combination of these sources. </w:t>
      </w:r>
    </w:p>
    <w:p w:rsidR="00610156" w:rsidRPr="00573FA5" w:rsidRDefault="00610156" w:rsidP="00610156">
      <w:pPr>
        <w:ind w:firstLine="720"/>
        <w:contextualSpacing/>
        <w:rPr>
          <w:rFonts w:ascii="Century Schoolbook" w:hAnsi="Century Schoolbook"/>
          <w:sz w:val="24"/>
          <w:szCs w:val="24"/>
        </w:rPr>
      </w:pPr>
    </w:p>
    <w:p w:rsidR="00610156" w:rsidRPr="00573FA5" w:rsidRDefault="00CA3C6F" w:rsidP="00610156">
      <w:pPr>
        <w:ind w:firstLine="720"/>
        <w:contextualSpacing/>
        <w:rPr>
          <w:rFonts w:ascii="Century Schoolbook" w:hAnsi="Century Schoolbook"/>
          <w:sz w:val="24"/>
          <w:szCs w:val="24"/>
        </w:rPr>
      </w:pPr>
      <w:r w:rsidRPr="00573FA5">
        <w:rPr>
          <w:rFonts w:ascii="Century Schoolbook" w:hAnsi="Century Schoolbook"/>
          <w:sz w:val="24"/>
          <w:szCs w:val="24"/>
        </w:rPr>
        <w:t>The Medicare Secon</w:t>
      </w:r>
      <w:r w:rsidR="00EC6368">
        <w:rPr>
          <w:rFonts w:ascii="Century Schoolbook" w:hAnsi="Century Schoolbook"/>
          <w:sz w:val="24"/>
          <w:szCs w:val="24"/>
        </w:rPr>
        <w:t>dary Payer Act, enacted in 1980</w:t>
      </w:r>
      <w:r w:rsidRPr="00573FA5">
        <w:rPr>
          <w:rFonts w:ascii="Century Schoolbook" w:hAnsi="Century Schoolbook"/>
          <w:sz w:val="24"/>
          <w:szCs w:val="24"/>
        </w:rPr>
        <w:t xml:space="preserve">, attempts to reduce Medicare costs by </w:t>
      </w:r>
      <w:r>
        <w:rPr>
          <w:rFonts w:ascii="Century Schoolbook" w:hAnsi="Century Schoolbook"/>
          <w:sz w:val="24"/>
          <w:szCs w:val="24"/>
        </w:rPr>
        <w:t>designating</w:t>
      </w:r>
      <w:r w:rsidRPr="00573FA5">
        <w:rPr>
          <w:rFonts w:ascii="Century Schoolbook" w:hAnsi="Century Schoolbook"/>
          <w:sz w:val="24"/>
          <w:szCs w:val="24"/>
        </w:rPr>
        <w:t xml:space="preserve"> Medicare </w:t>
      </w:r>
      <w:r>
        <w:rPr>
          <w:rFonts w:ascii="Century Schoolbook" w:hAnsi="Century Schoolbook"/>
          <w:sz w:val="24"/>
          <w:szCs w:val="24"/>
        </w:rPr>
        <w:t>as</w:t>
      </w:r>
      <w:r w:rsidRPr="00573FA5">
        <w:rPr>
          <w:rFonts w:ascii="Century Schoolbook" w:hAnsi="Century Schoolbook"/>
          <w:sz w:val="24"/>
          <w:szCs w:val="24"/>
        </w:rPr>
        <w:t xml:space="preserve"> a </w:t>
      </w:r>
      <w:r>
        <w:rPr>
          <w:rFonts w:ascii="Century Schoolbook" w:hAnsi="Century Schoolbook"/>
          <w:sz w:val="24"/>
          <w:szCs w:val="24"/>
        </w:rPr>
        <w:t>“</w:t>
      </w:r>
      <w:r w:rsidRPr="00573FA5">
        <w:rPr>
          <w:rFonts w:ascii="Century Schoolbook" w:hAnsi="Century Schoolbook"/>
          <w:sz w:val="24"/>
          <w:szCs w:val="24"/>
        </w:rPr>
        <w:t>secondary</w:t>
      </w:r>
      <w:r>
        <w:rPr>
          <w:rFonts w:ascii="Century Schoolbook" w:hAnsi="Century Schoolbook"/>
          <w:sz w:val="24"/>
          <w:szCs w:val="24"/>
        </w:rPr>
        <w:t>”</w:t>
      </w:r>
      <w:r w:rsidRPr="00573FA5">
        <w:rPr>
          <w:rFonts w:ascii="Century Schoolbook" w:hAnsi="Century Schoolbook"/>
          <w:sz w:val="24"/>
          <w:szCs w:val="24"/>
        </w:rPr>
        <w:t xml:space="preserve"> payer when a third-party payer or other </w:t>
      </w:r>
      <w:r>
        <w:rPr>
          <w:rFonts w:ascii="Century Schoolbook" w:hAnsi="Century Schoolbook"/>
          <w:sz w:val="24"/>
          <w:szCs w:val="24"/>
        </w:rPr>
        <w:t xml:space="preserve">form of </w:t>
      </w:r>
      <w:r w:rsidRPr="00573FA5">
        <w:rPr>
          <w:rFonts w:ascii="Century Schoolbook" w:hAnsi="Century Schoolbook"/>
          <w:sz w:val="24"/>
          <w:szCs w:val="24"/>
        </w:rPr>
        <w:t>“primary” insurance is available.</w:t>
      </w:r>
      <w:r>
        <w:rPr>
          <w:rStyle w:val="FootnoteReference"/>
          <w:rFonts w:ascii="Century Schoolbook" w:hAnsi="Century Schoolbook"/>
          <w:sz w:val="24"/>
          <w:szCs w:val="24"/>
        </w:rPr>
        <w:footnoteReference w:id="49"/>
      </w:r>
      <w:r w:rsidRPr="00573FA5">
        <w:rPr>
          <w:rFonts w:ascii="Century Schoolbook" w:hAnsi="Century Schoolbook"/>
          <w:sz w:val="24"/>
          <w:szCs w:val="24"/>
        </w:rPr>
        <w:t xml:space="preserve"> Medicare has what is frequently referred to as a “super lien</w:t>
      </w:r>
      <w:r>
        <w:rPr>
          <w:rFonts w:ascii="Century Schoolbook" w:hAnsi="Century Schoolbook"/>
          <w:sz w:val="24"/>
          <w:szCs w:val="24"/>
        </w:rPr>
        <w:t>,</w:t>
      </w:r>
      <w:r w:rsidRPr="00573FA5">
        <w:rPr>
          <w:rFonts w:ascii="Century Schoolbook" w:hAnsi="Century Schoolbook"/>
          <w:sz w:val="24"/>
          <w:szCs w:val="24"/>
        </w:rPr>
        <w:t xml:space="preserve">” </w:t>
      </w:r>
      <w:r>
        <w:rPr>
          <w:rFonts w:ascii="Century Schoolbook" w:hAnsi="Century Schoolbook"/>
          <w:sz w:val="24"/>
          <w:szCs w:val="24"/>
        </w:rPr>
        <w:t xml:space="preserve">that is </w:t>
      </w:r>
      <w:r w:rsidRPr="00573FA5">
        <w:rPr>
          <w:rFonts w:ascii="Century Schoolbook" w:hAnsi="Century Schoolbook"/>
          <w:sz w:val="24"/>
          <w:szCs w:val="24"/>
        </w:rPr>
        <w:t>both a subrogation right and an independent priority right of reimbursement</w:t>
      </w:r>
      <w:r>
        <w:rPr>
          <w:rFonts w:ascii="Century Schoolbook" w:hAnsi="Century Schoolbook"/>
          <w:sz w:val="24"/>
          <w:szCs w:val="24"/>
        </w:rPr>
        <w:t>.  T</w:t>
      </w:r>
      <w:r w:rsidRPr="00573FA5">
        <w:rPr>
          <w:rFonts w:ascii="Century Schoolbook" w:hAnsi="Century Schoolbook"/>
          <w:sz w:val="24"/>
          <w:szCs w:val="24"/>
        </w:rPr>
        <w:t xml:space="preserve">he government </w:t>
      </w:r>
      <w:r>
        <w:rPr>
          <w:rFonts w:ascii="Century Schoolbook" w:hAnsi="Century Schoolbook"/>
          <w:sz w:val="24"/>
          <w:szCs w:val="24"/>
        </w:rPr>
        <w:t xml:space="preserve">has </w:t>
      </w:r>
      <w:r w:rsidRPr="00573FA5">
        <w:rPr>
          <w:rFonts w:ascii="Century Schoolbook" w:hAnsi="Century Schoolbook"/>
          <w:sz w:val="24"/>
          <w:szCs w:val="24"/>
        </w:rPr>
        <w:t xml:space="preserve">reimbursement </w:t>
      </w:r>
      <w:r>
        <w:rPr>
          <w:rFonts w:ascii="Century Schoolbook" w:hAnsi="Century Schoolbook"/>
          <w:sz w:val="24"/>
          <w:szCs w:val="24"/>
        </w:rPr>
        <w:t xml:space="preserve">rights against </w:t>
      </w:r>
      <w:r w:rsidRPr="00573FA5">
        <w:rPr>
          <w:rFonts w:ascii="Century Schoolbook" w:hAnsi="Century Schoolbook"/>
          <w:sz w:val="24"/>
          <w:szCs w:val="24"/>
        </w:rPr>
        <w:t>virtually everyone involved in a personal injury claim, including the beneficiary, the defendant, and attorneys</w:t>
      </w:r>
      <w:r>
        <w:rPr>
          <w:rFonts w:ascii="Century Schoolbook" w:hAnsi="Century Schoolbook"/>
          <w:sz w:val="24"/>
          <w:szCs w:val="24"/>
        </w:rPr>
        <w:t xml:space="preserve"> representing the beneficiary</w:t>
      </w:r>
      <w:r w:rsidRPr="00573FA5">
        <w:rPr>
          <w:rFonts w:ascii="Century Schoolbook" w:hAnsi="Century Schoolbook"/>
          <w:sz w:val="24"/>
          <w:szCs w:val="24"/>
        </w:rPr>
        <w:t xml:space="preserve">. </w:t>
      </w:r>
    </w:p>
    <w:p w:rsidR="00610156" w:rsidRPr="00573FA5" w:rsidRDefault="00610156" w:rsidP="00610156">
      <w:pPr>
        <w:ind w:firstLine="720"/>
        <w:contextualSpacing/>
        <w:rPr>
          <w:rFonts w:ascii="Century Schoolbook" w:hAnsi="Century Schoolbook"/>
          <w:sz w:val="24"/>
          <w:szCs w:val="24"/>
        </w:rPr>
      </w:pPr>
    </w:p>
    <w:p w:rsidR="00610156" w:rsidRPr="00573FA5" w:rsidRDefault="00CA3C6F" w:rsidP="00610156">
      <w:pPr>
        <w:ind w:firstLine="720"/>
        <w:contextualSpacing/>
        <w:rPr>
          <w:rFonts w:ascii="Century Schoolbook" w:hAnsi="Century Schoolbook"/>
          <w:sz w:val="24"/>
          <w:szCs w:val="24"/>
        </w:rPr>
      </w:pPr>
      <w:r w:rsidRPr="00573FA5">
        <w:rPr>
          <w:rFonts w:ascii="Century Schoolbook" w:hAnsi="Century Schoolbook"/>
          <w:sz w:val="24"/>
          <w:szCs w:val="24"/>
        </w:rPr>
        <w:t xml:space="preserve">Medicare is not required to notify anyone of its right to reimbursement, nor </w:t>
      </w:r>
      <w:r>
        <w:rPr>
          <w:rFonts w:ascii="Century Schoolbook" w:hAnsi="Century Schoolbook"/>
          <w:sz w:val="24"/>
          <w:szCs w:val="24"/>
        </w:rPr>
        <w:t xml:space="preserve">need it </w:t>
      </w:r>
      <w:r w:rsidRPr="00573FA5">
        <w:rPr>
          <w:rFonts w:ascii="Century Schoolbook" w:hAnsi="Century Schoolbook"/>
          <w:sz w:val="24"/>
          <w:szCs w:val="24"/>
        </w:rPr>
        <w:t xml:space="preserve">make a request for reimbursement to enforce its right to recovery. Instead, </w:t>
      </w:r>
      <w:r>
        <w:rPr>
          <w:rFonts w:ascii="Century Schoolbook" w:hAnsi="Century Schoolbook"/>
          <w:sz w:val="24"/>
          <w:szCs w:val="24"/>
        </w:rPr>
        <w:t>the controlling statute</w:t>
      </w:r>
      <w:r>
        <w:rPr>
          <w:rStyle w:val="FootnoteReference"/>
          <w:rFonts w:ascii="Century Schoolbook" w:hAnsi="Century Schoolbook"/>
          <w:sz w:val="24"/>
          <w:szCs w:val="24"/>
        </w:rPr>
        <w:footnoteReference w:id="50"/>
      </w:r>
      <w:r>
        <w:rPr>
          <w:rFonts w:ascii="Century Schoolbook" w:hAnsi="Century Schoolbook"/>
          <w:sz w:val="24"/>
          <w:szCs w:val="24"/>
        </w:rPr>
        <w:t xml:space="preserve"> </w:t>
      </w:r>
      <w:r w:rsidRPr="00573FA5">
        <w:rPr>
          <w:rFonts w:ascii="Century Schoolbook" w:hAnsi="Century Schoolbook"/>
          <w:sz w:val="24"/>
          <w:szCs w:val="24"/>
        </w:rPr>
        <w:t>requires that providers of liability insurance (including self-insurance</w:t>
      </w:r>
      <w:r>
        <w:rPr>
          <w:rFonts w:ascii="Century Schoolbook" w:hAnsi="Century Schoolbook"/>
          <w:sz w:val="24"/>
          <w:szCs w:val="24"/>
        </w:rPr>
        <w:t xml:space="preserve"> </w:t>
      </w:r>
      <w:r w:rsidR="00EC6368">
        <w:rPr>
          <w:rFonts w:ascii="Century Schoolbook" w:hAnsi="Century Schoolbook"/>
          <w:sz w:val="24"/>
          <w:szCs w:val="24"/>
        </w:rPr>
        <w:t xml:space="preserve">and thus </w:t>
      </w:r>
      <w:r>
        <w:rPr>
          <w:rFonts w:ascii="Century Schoolbook" w:hAnsi="Century Schoolbook"/>
          <w:sz w:val="24"/>
          <w:szCs w:val="24"/>
        </w:rPr>
        <w:t>litigation defendants</w:t>
      </w:r>
      <w:r w:rsidRPr="00573FA5">
        <w:rPr>
          <w:rFonts w:ascii="Century Schoolbook" w:hAnsi="Century Schoolbook"/>
          <w:sz w:val="24"/>
          <w:szCs w:val="24"/>
        </w:rPr>
        <w:t xml:space="preserve">), no fault insurance, and workers’ compensation insurance </w:t>
      </w:r>
      <w:r>
        <w:rPr>
          <w:rFonts w:ascii="Century Schoolbook" w:hAnsi="Century Schoolbook"/>
          <w:sz w:val="24"/>
          <w:szCs w:val="24"/>
        </w:rPr>
        <w:t xml:space="preserve">affirmatively </w:t>
      </w:r>
      <w:r w:rsidRPr="00573FA5">
        <w:rPr>
          <w:rFonts w:ascii="Century Schoolbook" w:hAnsi="Century Schoolbook"/>
          <w:sz w:val="24"/>
          <w:szCs w:val="24"/>
        </w:rPr>
        <w:t>determine the enrollment status of each claimant with whom a settlement or other award in resolution of a claim is made</w:t>
      </w:r>
      <w:r>
        <w:rPr>
          <w:rFonts w:ascii="Century Schoolbook" w:hAnsi="Century Schoolbook"/>
          <w:sz w:val="24"/>
          <w:szCs w:val="24"/>
        </w:rPr>
        <w:t xml:space="preserve">. They must also </w:t>
      </w:r>
      <w:r w:rsidRPr="00573FA5">
        <w:rPr>
          <w:rFonts w:ascii="Century Schoolbook" w:hAnsi="Century Schoolbook"/>
          <w:sz w:val="24"/>
          <w:szCs w:val="24"/>
        </w:rPr>
        <w:t>report certain information about those claims to Medicare to ensure that Medicare’s interest is protected.</w:t>
      </w:r>
      <w:r>
        <w:rPr>
          <w:rStyle w:val="FootnoteReference"/>
          <w:rFonts w:ascii="Century Schoolbook" w:hAnsi="Century Schoolbook"/>
          <w:sz w:val="24"/>
          <w:szCs w:val="24"/>
        </w:rPr>
        <w:footnoteReference w:id="51"/>
      </w:r>
      <w:r w:rsidRPr="00573FA5">
        <w:rPr>
          <w:rFonts w:ascii="Century Schoolbook" w:hAnsi="Century Schoolbook"/>
          <w:sz w:val="24"/>
          <w:szCs w:val="24"/>
        </w:rPr>
        <w:t xml:space="preserve"> </w:t>
      </w:r>
    </w:p>
    <w:p w:rsidR="00610156" w:rsidRPr="00573FA5" w:rsidRDefault="00610156" w:rsidP="00610156">
      <w:pPr>
        <w:ind w:firstLine="720"/>
        <w:contextualSpacing/>
        <w:rPr>
          <w:rFonts w:ascii="Century Schoolbook" w:hAnsi="Century Schoolbook"/>
          <w:sz w:val="24"/>
          <w:szCs w:val="24"/>
        </w:rPr>
      </w:pPr>
    </w:p>
    <w:p w:rsidR="00610156" w:rsidRDefault="00CA3C6F" w:rsidP="00610156">
      <w:pPr>
        <w:ind w:firstLine="720"/>
        <w:contextualSpacing/>
        <w:rPr>
          <w:rFonts w:ascii="Century Schoolbook" w:hAnsi="Century Schoolbook"/>
          <w:sz w:val="24"/>
          <w:szCs w:val="24"/>
        </w:rPr>
      </w:pPr>
      <w:r w:rsidRPr="00573FA5">
        <w:rPr>
          <w:rFonts w:ascii="Century Schoolbook" w:hAnsi="Century Schoolbook"/>
          <w:sz w:val="24"/>
          <w:szCs w:val="24"/>
        </w:rPr>
        <w:t xml:space="preserve">The Medicare Program is made up of </w:t>
      </w:r>
      <w:r>
        <w:rPr>
          <w:rFonts w:ascii="Century Schoolbook" w:hAnsi="Century Schoolbook"/>
          <w:sz w:val="24"/>
          <w:szCs w:val="24"/>
        </w:rPr>
        <w:t>P</w:t>
      </w:r>
      <w:r w:rsidRPr="00573FA5">
        <w:rPr>
          <w:rFonts w:ascii="Century Schoolbook" w:hAnsi="Century Schoolbook"/>
          <w:sz w:val="24"/>
          <w:szCs w:val="24"/>
        </w:rPr>
        <w:t>arts</w:t>
      </w:r>
      <w:r>
        <w:rPr>
          <w:rFonts w:ascii="Century Schoolbook" w:hAnsi="Century Schoolbook"/>
          <w:sz w:val="24"/>
          <w:szCs w:val="24"/>
        </w:rPr>
        <w:t xml:space="preserve"> </w:t>
      </w:r>
      <w:r w:rsidRPr="00573FA5">
        <w:rPr>
          <w:rFonts w:ascii="Century Schoolbook" w:hAnsi="Century Schoolbook"/>
          <w:sz w:val="24"/>
          <w:szCs w:val="24"/>
        </w:rPr>
        <w:t>A</w:t>
      </w:r>
      <w:r>
        <w:rPr>
          <w:rFonts w:ascii="Century Schoolbook" w:hAnsi="Century Schoolbook"/>
          <w:sz w:val="24"/>
          <w:szCs w:val="24"/>
        </w:rPr>
        <w:t xml:space="preserve"> through </w:t>
      </w:r>
      <w:r w:rsidRPr="00573FA5">
        <w:rPr>
          <w:rFonts w:ascii="Century Schoolbook" w:hAnsi="Century Schoolbook"/>
          <w:sz w:val="24"/>
          <w:szCs w:val="24"/>
        </w:rPr>
        <w:t xml:space="preserve">Part D. Medicare Parts A &amp; B are often referred to as “federal” or “traditional” Medicare. Medicare Part C Plans (referred to as “Medicare Advantage Plans”) allow Medicare beneficiaries to enroll in a private plan as an alternative to traditional Medicare. Such plans provide the same benefits as Medicare Part A and Part B and may also include prescription drug coverage. Part C plans are provided by private insurers. These plans must offer at least the same benefits as traditional Medicare but can do so with different rules, costs, and coverage restrictions. </w:t>
      </w:r>
    </w:p>
    <w:p w:rsidR="00610156" w:rsidRPr="00573FA5" w:rsidRDefault="00610156" w:rsidP="00610156">
      <w:pPr>
        <w:ind w:firstLine="720"/>
        <w:contextualSpacing/>
        <w:rPr>
          <w:rFonts w:ascii="Century Schoolbook" w:hAnsi="Century Schoolbook"/>
          <w:sz w:val="24"/>
          <w:szCs w:val="24"/>
        </w:rPr>
      </w:pPr>
    </w:p>
    <w:p w:rsidR="00610156" w:rsidRPr="00573FA5" w:rsidRDefault="00CA3C6F" w:rsidP="00610156">
      <w:pPr>
        <w:ind w:firstLine="720"/>
        <w:contextualSpacing/>
        <w:rPr>
          <w:rFonts w:ascii="Century Schoolbook" w:hAnsi="Century Schoolbook"/>
          <w:sz w:val="24"/>
          <w:szCs w:val="24"/>
        </w:rPr>
      </w:pPr>
      <w:r w:rsidRPr="00573FA5">
        <w:rPr>
          <w:rFonts w:ascii="Century Schoolbook" w:hAnsi="Century Schoolbook"/>
          <w:sz w:val="24"/>
          <w:szCs w:val="24"/>
        </w:rPr>
        <w:t xml:space="preserve">Circuit court case law from the Third and Eleventh Circuits accord Part C private providers (“Medicare Advantage Organizations”) the same </w:t>
      </w:r>
      <w:r>
        <w:rPr>
          <w:rFonts w:ascii="Century Schoolbook" w:hAnsi="Century Schoolbook"/>
          <w:sz w:val="24"/>
          <w:szCs w:val="24"/>
        </w:rPr>
        <w:t xml:space="preserve">secondary payer </w:t>
      </w:r>
      <w:r w:rsidRPr="00573FA5">
        <w:rPr>
          <w:rFonts w:ascii="Century Schoolbook" w:hAnsi="Century Schoolbook"/>
          <w:sz w:val="24"/>
          <w:szCs w:val="24"/>
        </w:rPr>
        <w:t xml:space="preserve">rights as Medicare under Part A and B, notably not </w:t>
      </w:r>
      <w:r>
        <w:rPr>
          <w:rFonts w:ascii="Century Schoolbook" w:hAnsi="Century Schoolbook"/>
          <w:sz w:val="24"/>
          <w:szCs w:val="24"/>
        </w:rPr>
        <w:t xml:space="preserve">having </w:t>
      </w:r>
      <w:r w:rsidRPr="00573FA5">
        <w:rPr>
          <w:rFonts w:ascii="Century Schoolbook" w:hAnsi="Century Schoolbook"/>
          <w:sz w:val="24"/>
          <w:szCs w:val="24"/>
        </w:rPr>
        <w:t>to notify anyone of a right to reimbursement or to make a request for reimbursement in order to enforce a right to recovery.</w:t>
      </w:r>
      <w:r>
        <w:rPr>
          <w:rStyle w:val="FootnoteReference"/>
          <w:rFonts w:ascii="Century Schoolbook" w:hAnsi="Century Schoolbook"/>
          <w:sz w:val="24"/>
          <w:szCs w:val="24"/>
        </w:rPr>
        <w:footnoteReference w:id="52"/>
      </w:r>
      <w:r w:rsidRPr="00573FA5">
        <w:rPr>
          <w:rFonts w:ascii="Century Schoolbook" w:hAnsi="Century Schoolbook"/>
          <w:sz w:val="24"/>
          <w:szCs w:val="24"/>
        </w:rPr>
        <w:t xml:space="preserve"> Medicare Part D is delivered through private companies that contract with the Centers for Medicare &amp; Medicaid Services (“CMS”) to provide prescription drug benefits. </w:t>
      </w:r>
    </w:p>
    <w:p w:rsidR="00610156" w:rsidRPr="00573FA5" w:rsidRDefault="00CA3C6F" w:rsidP="00610156">
      <w:pPr>
        <w:keepNext/>
        <w:keepLines/>
        <w:ind w:firstLine="720"/>
        <w:contextualSpacing/>
        <w:rPr>
          <w:rFonts w:ascii="Century Schoolbook" w:hAnsi="Century Schoolbook"/>
          <w:sz w:val="24"/>
          <w:szCs w:val="24"/>
        </w:rPr>
      </w:pPr>
      <w:r w:rsidRPr="00573FA5">
        <w:rPr>
          <w:rFonts w:ascii="Century Schoolbook" w:hAnsi="Century Schoolbook"/>
          <w:sz w:val="24"/>
          <w:szCs w:val="24"/>
        </w:rPr>
        <w:lastRenderedPageBreak/>
        <w:t>Medicaid is a government-sponsored health insurance program providing coverage to qualifying low-income individuals, including parents, children, and the disabled.</w:t>
      </w:r>
      <w:r>
        <w:rPr>
          <w:rStyle w:val="FootnoteReference"/>
          <w:rFonts w:ascii="Century Schoolbook" w:hAnsi="Century Schoolbook"/>
          <w:sz w:val="24"/>
          <w:szCs w:val="24"/>
        </w:rPr>
        <w:footnoteReference w:id="53"/>
      </w:r>
      <w:r w:rsidRPr="00573FA5">
        <w:rPr>
          <w:rFonts w:ascii="Century Schoolbook" w:hAnsi="Century Schoolbook"/>
          <w:sz w:val="24"/>
          <w:szCs w:val="24"/>
        </w:rPr>
        <w:t xml:space="preserve"> The program is funded by federal and state governments but is administered by individual state agencies. States have discretion to determine Medicaid eligibility criteria, so Medicaid beneficiary demographics can vary significantly from state to state. There are currently 52 Medicaid agencies administering 52 separate Medicaid lien recovery programs. Resolution of Medicaid liens is required by state and federal law. </w:t>
      </w:r>
    </w:p>
    <w:p w:rsidR="00610156" w:rsidRPr="00573FA5" w:rsidRDefault="00610156" w:rsidP="00610156">
      <w:pPr>
        <w:keepNext/>
        <w:keepLines/>
        <w:ind w:firstLine="720"/>
        <w:contextualSpacing/>
        <w:rPr>
          <w:rFonts w:ascii="Century Schoolbook" w:hAnsi="Century Schoolbook"/>
          <w:sz w:val="24"/>
          <w:szCs w:val="24"/>
          <w:u w:val="single"/>
        </w:rPr>
      </w:pPr>
    </w:p>
    <w:p w:rsidR="00610156" w:rsidRPr="00573FA5" w:rsidRDefault="00CA3C6F" w:rsidP="00610156">
      <w:pPr>
        <w:ind w:firstLine="720"/>
        <w:contextualSpacing/>
        <w:rPr>
          <w:rFonts w:ascii="Century Schoolbook" w:hAnsi="Century Schoolbook"/>
          <w:sz w:val="24"/>
          <w:szCs w:val="24"/>
        </w:rPr>
      </w:pPr>
      <w:r w:rsidRPr="00573FA5">
        <w:rPr>
          <w:rFonts w:ascii="Century Schoolbook" w:hAnsi="Century Schoolbook"/>
          <w:sz w:val="24"/>
          <w:szCs w:val="24"/>
        </w:rPr>
        <w:t xml:space="preserve">Other governmental providers </w:t>
      </w:r>
      <w:r>
        <w:rPr>
          <w:rFonts w:ascii="Century Schoolbook" w:hAnsi="Century Schoolbook"/>
          <w:sz w:val="24"/>
          <w:szCs w:val="24"/>
        </w:rPr>
        <w:t>also</w:t>
      </w:r>
      <w:r w:rsidRPr="00573FA5">
        <w:rPr>
          <w:rFonts w:ascii="Century Schoolbook" w:hAnsi="Century Schoolbook"/>
          <w:sz w:val="24"/>
          <w:szCs w:val="24"/>
        </w:rPr>
        <w:t xml:space="preserve"> assert healthcare liens. </w:t>
      </w:r>
      <w:r>
        <w:rPr>
          <w:rFonts w:ascii="Century Schoolbook" w:hAnsi="Century Schoolbook"/>
          <w:sz w:val="24"/>
          <w:szCs w:val="24"/>
        </w:rPr>
        <w:t>T</w:t>
      </w:r>
      <w:r w:rsidRPr="00573FA5">
        <w:rPr>
          <w:rFonts w:ascii="Century Schoolbook" w:hAnsi="Century Schoolbook"/>
          <w:sz w:val="24"/>
          <w:szCs w:val="24"/>
        </w:rPr>
        <w:t xml:space="preserve">he lien rights of military and other federal government entities providing health insurance coverage to </w:t>
      </w:r>
      <w:r>
        <w:rPr>
          <w:rFonts w:ascii="Century Schoolbook" w:hAnsi="Century Schoolbook"/>
          <w:sz w:val="24"/>
          <w:szCs w:val="24"/>
        </w:rPr>
        <w:t>potential</w:t>
      </w:r>
      <w:r w:rsidRPr="00573FA5">
        <w:rPr>
          <w:rFonts w:ascii="Century Schoolbook" w:hAnsi="Century Schoolbook"/>
          <w:sz w:val="24"/>
          <w:szCs w:val="24"/>
        </w:rPr>
        <w:t xml:space="preserve"> plaintiffs stem from the Federal Medical Care Recovery Act (“FMCRA”).</w:t>
      </w:r>
      <w:r>
        <w:rPr>
          <w:rStyle w:val="FootnoteReference"/>
          <w:rFonts w:ascii="Century Schoolbook" w:hAnsi="Century Schoolbook"/>
          <w:sz w:val="24"/>
          <w:szCs w:val="24"/>
        </w:rPr>
        <w:footnoteReference w:id="54"/>
      </w:r>
      <w:r w:rsidRPr="00573FA5">
        <w:rPr>
          <w:rFonts w:ascii="Century Schoolbook" w:hAnsi="Century Schoolbook"/>
          <w:sz w:val="24"/>
          <w:szCs w:val="24"/>
        </w:rPr>
        <w:t xml:space="preserve"> These federal entities are typically granted an independent right of recovery against a third party responsible for a member’s medical care along with a right of subrogation, assignment, and ability to intervene or join the plan member plaintiff’s claim.</w:t>
      </w:r>
      <w:r>
        <w:rPr>
          <w:rStyle w:val="FootnoteReference"/>
          <w:rFonts w:ascii="Century Schoolbook" w:hAnsi="Century Schoolbook"/>
          <w:sz w:val="24"/>
          <w:szCs w:val="24"/>
        </w:rPr>
        <w:footnoteReference w:id="55"/>
      </w:r>
      <w:r w:rsidRPr="00573FA5">
        <w:rPr>
          <w:rFonts w:ascii="Century Schoolbook" w:hAnsi="Century Schoolbook"/>
          <w:sz w:val="24"/>
          <w:szCs w:val="24"/>
        </w:rPr>
        <w:t xml:space="preserve"> </w:t>
      </w:r>
    </w:p>
    <w:p w:rsidR="00610156" w:rsidRPr="00573FA5" w:rsidRDefault="00610156" w:rsidP="00610156">
      <w:pPr>
        <w:ind w:firstLine="720"/>
        <w:contextualSpacing/>
        <w:rPr>
          <w:rFonts w:ascii="Century Schoolbook" w:hAnsi="Century Schoolbook"/>
          <w:sz w:val="24"/>
          <w:szCs w:val="24"/>
        </w:rPr>
      </w:pPr>
    </w:p>
    <w:p w:rsidR="00610156" w:rsidRPr="00573FA5" w:rsidRDefault="00CA3C6F" w:rsidP="00610156">
      <w:pPr>
        <w:ind w:firstLine="720"/>
        <w:contextualSpacing/>
        <w:rPr>
          <w:rFonts w:ascii="Century Schoolbook" w:hAnsi="Century Schoolbook"/>
          <w:sz w:val="24"/>
          <w:szCs w:val="24"/>
        </w:rPr>
      </w:pPr>
      <w:r w:rsidRPr="00573FA5">
        <w:rPr>
          <w:rFonts w:ascii="Century Schoolbook" w:hAnsi="Century Schoolbook"/>
          <w:sz w:val="24"/>
          <w:szCs w:val="24"/>
        </w:rPr>
        <w:t>Private health insurance companies may also assert healthcare liens. Private health insurance is provided primarily by employers and individual</w:t>
      </w:r>
      <w:r>
        <w:rPr>
          <w:rFonts w:ascii="Century Schoolbook" w:hAnsi="Century Schoolbook"/>
          <w:sz w:val="24"/>
          <w:szCs w:val="24"/>
        </w:rPr>
        <w:t>ly purchased</w:t>
      </w:r>
      <w:r w:rsidRPr="00573FA5">
        <w:rPr>
          <w:rFonts w:ascii="Century Schoolbook" w:hAnsi="Century Schoolbook"/>
          <w:sz w:val="24"/>
          <w:szCs w:val="24"/>
        </w:rPr>
        <w:t xml:space="preserve"> policies. </w:t>
      </w:r>
      <w:r>
        <w:rPr>
          <w:rFonts w:ascii="Century Schoolbook" w:hAnsi="Century Schoolbook"/>
          <w:sz w:val="24"/>
          <w:szCs w:val="24"/>
        </w:rPr>
        <w:t>L</w:t>
      </w:r>
      <w:r w:rsidRPr="00573FA5">
        <w:rPr>
          <w:rFonts w:ascii="Century Schoolbook" w:hAnsi="Century Schoolbook"/>
          <w:sz w:val="24"/>
          <w:szCs w:val="24"/>
        </w:rPr>
        <w:t xml:space="preserve">ien and subrogation rights are a </w:t>
      </w:r>
      <w:r>
        <w:rPr>
          <w:rFonts w:ascii="Century Schoolbook" w:hAnsi="Century Schoolbook"/>
          <w:sz w:val="24"/>
          <w:szCs w:val="24"/>
        </w:rPr>
        <w:t xml:space="preserve">mixture </w:t>
      </w:r>
      <w:r w:rsidRPr="00573FA5">
        <w:rPr>
          <w:rFonts w:ascii="Century Schoolbook" w:hAnsi="Century Schoolbook"/>
          <w:sz w:val="24"/>
          <w:szCs w:val="24"/>
        </w:rPr>
        <w:t xml:space="preserve">of contract, state law, federal law (including the Employment Retirement Income Security Act (“ERISA”)), judicial decisions, and other considerations (such as whether a private health plan is fully self-insured). </w:t>
      </w:r>
      <w:r>
        <w:rPr>
          <w:rFonts w:ascii="Century Schoolbook" w:hAnsi="Century Schoolbook"/>
          <w:sz w:val="24"/>
          <w:szCs w:val="24"/>
        </w:rPr>
        <w:t>T</w:t>
      </w:r>
      <w:r w:rsidRPr="00573FA5">
        <w:rPr>
          <w:rFonts w:ascii="Century Schoolbook" w:hAnsi="Century Schoolbook"/>
          <w:sz w:val="24"/>
          <w:szCs w:val="24"/>
        </w:rPr>
        <w:t xml:space="preserve">he process for resolving private lien interests has been evolving significantly and can benefit from court supervision and oversight. </w:t>
      </w:r>
    </w:p>
    <w:p w:rsidR="00610156" w:rsidRDefault="00610156" w:rsidP="00610156">
      <w:pPr>
        <w:ind w:firstLine="720"/>
        <w:contextualSpacing/>
        <w:rPr>
          <w:rFonts w:ascii="Century Schoolbook" w:hAnsi="Century Schoolbook"/>
          <w:b/>
          <w:sz w:val="24"/>
          <w:szCs w:val="24"/>
        </w:rPr>
      </w:pPr>
    </w:p>
    <w:p w:rsidR="00610156" w:rsidRPr="00573FA5" w:rsidRDefault="00CA3C6F" w:rsidP="00610156">
      <w:pPr>
        <w:ind w:left="720" w:right="720"/>
        <w:contextualSpacing/>
        <w:jc w:val="both"/>
        <w:rPr>
          <w:rFonts w:ascii="Century Schoolbook" w:hAnsi="Century Schoolbook"/>
          <w:i/>
          <w:sz w:val="24"/>
          <w:szCs w:val="24"/>
        </w:rPr>
      </w:pPr>
      <w:r w:rsidRPr="00573FA5">
        <w:rPr>
          <w:rFonts w:ascii="Century Schoolbook" w:hAnsi="Century Schoolbook"/>
          <w:smallCaps/>
          <w:sz w:val="24"/>
          <w:szCs w:val="24"/>
        </w:rPr>
        <w:t>Best Practice 17A</w:t>
      </w:r>
      <w:r w:rsidRPr="00573FA5">
        <w:rPr>
          <w:rFonts w:ascii="Century Schoolbook" w:hAnsi="Century Schoolbook"/>
          <w:sz w:val="24"/>
          <w:szCs w:val="24"/>
        </w:rPr>
        <w:t xml:space="preserve">: The transferee judge overseeing a global settlement should designate </w:t>
      </w:r>
      <w:r>
        <w:rPr>
          <w:rFonts w:ascii="Century Schoolbook" w:hAnsi="Century Schoolbook"/>
          <w:sz w:val="24"/>
          <w:szCs w:val="24"/>
        </w:rPr>
        <w:t xml:space="preserve">representatives from both sides </w:t>
      </w:r>
      <w:r w:rsidRPr="00573FA5">
        <w:rPr>
          <w:rFonts w:ascii="Century Schoolbook" w:hAnsi="Century Schoolbook"/>
          <w:sz w:val="24"/>
          <w:szCs w:val="24"/>
        </w:rPr>
        <w:t xml:space="preserve">to </w:t>
      </w:r>
      <w:r>
        <w:rPr>
          <w:rFonts w:ascii="Century Schoolbook" w:hAnsi="Century Schoolbook"/>
          <w:sz w:val="24"/>
          <w:szCs w:val="24"/>
        </w:rPr>
        <w:t xml:space="preserve">create a </w:t>
      </w:r>
      <w:r w:rsidRPr="00573FA5">
        <w:rPr>
          <w:rFonts w:ascii="Century Schoolbook" w:hAnsi="Century Schoolbook"/>
          <w:sz w:val="24"/>
          <w:szCs w:val="24"/>
        </w:rPr>
        <w:t xml:space="preserve">healthcare lien resolution process. The responsibilities and respective duties </w:t>
      </w:r>
      <w:r>
        <w:rPr>
          <w:rFonts w:ascii="Century Schoolbook" w:hAnsi="Century Schoolbook"/>
          <w:sz w:val="24"/>
          <w:szCs w:val="24"/>
        </w:rPr>
        <w:t xml:space="preserve">of these representatives </w:t>
      </w:r>
      <w:r w:rsidRPr="00573FA5">
        <w:rPr>
          <w:rFonts w:ascii="Century Schoolbook" w:hAnsi="Century Schoolbook"/>
          <w:sz w:val="24"/>
          <w:szCs w:val="24"/>
        </w:rPr>
        <w:t>(and subcommittees, as needed) should be specified at the outset and assigned at the earliest possible time.</w:t>
      </w:r>
    </w:p>
    <w:p w:rsidR="00610156" w:rsidRPr="00573FA5" w:rsidRDefault="00610156" w:rsidP="00610156">
      <w:pPr>
        <w:contextualSpacing/>
        <w:rPr>
          <w:rFonts w:ascii="Century Schoolbook" w:hAnsi="Century Schoolbook"/>
          <w:sz w:val="24"/>
          <w:szCs w:val="24"/>
        </w:rPr>
      </w:pPr>
    </w:p>
    <w:p w:rsidR="00610156" w:rsidRDefault="00CA3C6F" w:rsidP="00610156">
      <w:pPr>
        <w:ind w:firstLine="720"/>
        <w:contextualSpacing/>
        <w:rPr>
          <w:rFonts w:ascii="Century Schoolbook" w:hAnsi="Century Schoolbook"/>
          <w:sz w:val="24"/>
          <w:szCs w:val="24"/>
        </w:rPr>
      </w:pPr>
      <w:r w:rsidRPr="00573FA5">
        <w:rPr>
          <w:rFonts w:ascii="Century Schoolbook" w:hAnsi="Century Schoolbook"/>
          <w:sz w:val="24"/>
          <w:szCs w:val="24"/>
        </w:rPr>
        <w:t xml:space="preserve">All parties benefit from addressing healthcare liens early on in the settlement process, </w:t>
      </w:r>
      <w:r w:rsidR="00404174">
        <w:rPr>
          <w:rFonts w:ascii="Century Schoolbook" w:hAnsi="Century Schoolbook"/>
          <w:sz w:val="24"/>
          <w:szCs w:val="24"/>
        </w:rPr>
        <w:t xml:space="preserve">because </w:t>
      </w:r>
      <w:r w:rsidRPr="00573FA5">
        <w:rPr>
          <w:rFonts w:ascii="Century Schoolbook" w:hAnsi="Century Schoolbook"/>
          <w:sz w:val="24"/>
          <w:szCs w:val="24"/>
        </w:rPr>
        <w:t>the risks of non-compliance</w:t>
      </w:r>
      <w:r>
        <w:rPr>
          <w:rStyle w:val="FootnoteReference"/>
          <w:rFonts w:ascii="Century Schoolbook" w:hAnsi="Century Schoolbook"/>
          <w:sz w:val="24"/>
          <w:szCs w:val="24"/>
        </w:rPr>
        <w:footnoteReference w:id="56"/>
      </w:r>
      <w:r w:rsidRPr="00573FA5">
        <w:rPr>
          <w:rFonts w:ascii="Century Schoolbook" w:hAnsi="Century Schoolbook"/>
          <w:sz w:val="24"/>
          <w:szCs w:val="24"/>
        </w:rPr>
        <w:t xml:space="preserve">  are magnified </w:t>
      </w:r>
      <w:r>
        <w:rPr>
          <w:rFonts w:ascii="Century Schoolbook" w:hAnsi="Century Schoolbook"/>
          <w:sz w:val="24"/>
          <w:szCs w:val="24"/>
        </w:rPr>
        <w:t xml:space="preserve">by </w:t>
      </w:r>
      <w:r w:rsidRPr="00573FA5">
        <w:rPr>
          <w:rFonts w:ascii="Century Schoolbook" w:hAnsi="Century Schoolbook"/>
          <w:sz w:val="24"/>
          <w:szCs w:val="24"/>
        </w:rPr>
        <w:t>large numbers of plaintiffs</w:t>
      </w:r>
      <w:r>
        <w:rPr>
          <w:rFonts w:ascii="Century Schoolbook" w:hAnsi="Century Schoolbook"/>
          <w:sz w:val="24"/>
          <w:szCs w:val="24"/>
        </w:rPr>
        <w:t xml:space="preserve"> and claims</w:t>
      </w:r>
      <w:r w:rsidRPr="00573FA5">
        <w:rPr>
          <w:rFonts w:ascii="Century Schoolbook" w:hAnsi="Century Schoolbook"/>
          <w:sz w:val="24"/>
          <w:szCs w:val="24"/>
        </w:rPr>
        <w:t xml:space="preserve">.  </w:t>
      </w:r>
    </w:p>
    <w:p w:rsidR="00404174" w:rsidRPr="00573FA5" w:rsidRDefault="00404174" w:rsidP="00610156">
      <w:pPr>
        <w:ind w:firstLine="720"/>
        <w:contextualSpacing/>
        <w:rPr>
          <w:rFonts w:ascii="Century Schoolbook" w:hAnsi="Century Schoolbook"/>
          <w:sz w:val="24"/>
          <w:szCs w:val="24"/>
        </w:rPr>
      </w:pPr>
    </w:p>
    <w:p w:rsidR="00610156" w:rsidRPr="00573FA5" w:rsidRDefault="00CA3C6F" w:rsidP="00610156">
      <w:pPr>
        <w:ind w:firstLine="720"/>
        <w:contextualSpacing/>
        <w:rPr>
          <w:rFonts w:ascii="Century Schoolbook" w:hAnsi="Century Schoolbook"/>
          <w:sz w:val="24"/>
          <w:szCs w:val="24"/>
        </w:rPr>
      </w:pPr>
      <w:r>
        <w:rPr>
          <w:rFonts w:ascii="Century Schoolbook" w:hAnsi="Century Schoolbook"/>
          <w:sz w:val="24"/>
          <w:szCs w:val="24"/>
        </w:rPr>
        <w:t>Usually</w:t>
      </w:r>
      <w:r w:rsidRPr="00573FA5">
        <w:rPr>
          <w:rFonts w:ascii="Century Schoolbook" w:hAnsi="Century Schoolbook"/>
          <w:sz w:val="24"/>
          <w:szCs w:val="24"/>
        </w:rPr>
        <w:t xml:space="preserve">, the first step toward lien resolution is </w:t>
      </w:r>
      <w:r>
        <w:rPr>
          <w:rFonts w:ascii="Century Schoolbook" w:hAnsi="Century Schoolbook"/>
          <w:sz w:val="24"/>
          <w:szCs w:val="24"/>
        </w:rPr>
        <w:t xml:space="preserve">for all </w:t>
      </w:r>
      <w:r w:rsidRPr="00573FA5">
        <w:rPr>
          <w:rFonts w:ascii="Century Schoolbook" w:hAnsi="Century Schoolbook"/>
          <w:sz w:val="24"/>
          <w:szCs w:val="24"/>
        </w:rPr>
        <w:t>plaintiff</w:t>
      </w:r>
      <w:r>
        <w:rPr>
          <w:rFonts w:ascii="Century Schoolbook" w:hAnsi="Century Schoolbook"/>
          <w:sz w:val="24"/>
          <w:szCs w:val="24"/>
        </w:rPr>
        <w:t>s</w:t>
      </w:r>
      <w:r w:rsidRPr="00573FA5">
        <w:rPr>
          <w:rFonts w:ascii="Century Schoolbook" w:hAnsi="Century Schoolbook"/>
          <w:sz w:val="24"/>
          <w:szCs w:val="24"/>
        </w:rPr>
        <w:t xml:space="preserve"> </w:t>
      </w:r>
      <w:r>
        <w:rPr>
          <w:rFonts w:ascii="Century Schoolbook" w:hAnsi="Century Schoolbook"/>
          <w:sz w:val="24"/>
          <w:szCs w:val="24"/>
        </w:rPr>
        <w:t xml:space="preserve">to </w:t>
      </w:r>
      <w:r w:rsidRPr="00573FA5">
        <w:rPr>
          <w:rFonts w:ascii="Century Schoolbook" w:hAnsi="Century Schoolbook"/>
          <w:sz w:val="24"/>
          <w:szCs w:val="24"/>
        </w:rPr>
        <w:t xml:space="preserve">submit </w:t>
      </w:r>
      <w:r>
        <w:rPr>
          <w:rFonts w:ascii="Century Schoolbook" w:hAnsi="Century Schoolbook"/>
          <w:sz w:val="24"/>
          <w:szCs w:val="24"/>
        </w:rPr>
        <w:t>their</w:t>
      </w:r>
      <w:r w:rsidRPr="00573FA5">
        <w:rPr>
          <w:rFonts w:ascii="Century Schoolbook" w:hAnsi="Century Schoolbook"/>
          <w:sz w:val="24"/>
          <w:szCs w:val="24"/>
        </w:rPr>
        <w:t xml:space="preserve"> personal indemnifying information, dates of injury, healthcare plans</w:t>
      </w:r>
      <w:r>
        <w:rPr>
          <w:rFonts w:ascii="Century Schoolbook" w:hAnsi="Century Schoolbook"/>
          <w:sz w:val="24"/>
          <w:szCs w:val="24"/>
        </w:rPr>
        <w:t>,</w:t>
      </w:r>
      <w:r w:rsidRPr="00573FA5">
        <w:rPr>
          <w:rFonts w:ascii="Century Schoolbook" w:hAnsi="Century Schoolbook"/>
          <w:sz w:val="24"/>
          <w:szCs w:val="24"/>
        </w:rPr>
        <w:t xml:space="preserve"> and medical treatment to identify possible liens. The second step is verification of </w:t>
      </w:r>
      <w:r w:rsidRPr="00573FA5">
        <w:rPr>
          <w:rFonts w:ascii="Century Schoolbook" w:hAnsi="Century Schoolbook"/>
          <w:sz w:val="24"/>
          <w:szCs w:val="24"/>
        </w:rPr>
        <w:lastRenderedPageBreak/>
        <w:t xml:space="preserve">entitlement (“VOE”), </w:t>
      </w:r>
      <w:r>
        <w:rPr>
          <w:rFonts w:ascii="Century Schoolbook" w:hAnsi="Century Schoolbook"/>
          <w:sz w:val="24"/>
          <w:szCs w:val="24"/>
        </w:rPr>
        <w:t xml:space="preserve">to </w:t>
      </w:r>
      <w:r w:rsidRPr="00573FA5">
        <w:rPr>
          <w:rFonts w:ascii="Century Schoolbook" w:hAnsi="Century Schoolbook"/>
          <w:sz w:val="24"/>
          <w:szCs w:val="24"/>
        </w:rPr>
        <w:t xml:space="preserve">determine </w:t>
      </w:r>
      <w:r>
        <w:rPr>
          <w:rFonts w:ascii="Century Schoolbook" w:hAnsi="Century Schoolbook"/>
          <w:sz w:val="24"/>
          <w:szCs w:val="24"/>
        </w:rPr>
        <w:t xml:space="preserve">the extent that particular </w:t>
      </w:r>
      <w:r w:rsidRPr="00573FA5">
        <w:rPr>
          <w:rFonts w:ascii="Century Schoolbook" w:hAnsi="Century Schoolbook"/>
          <w:sz w:val="24"/>
          <w:szCs w:val="24"/>
        </w:rPr>
        <w:t>plaintiff</w:t>
      </w:r>
      <w:r>
        <w:rPr>
          <w:rFonts w:ascii="Century Schoolbook" w:hAnsi="Century Schoolbook"/>
          <w:sz w:val="24"/>
          <w:szCs w:val="24"/>
        </w:rPr>
        <w:t>s</w:t>
      </w:r>
      <w:r w:rsidRPr="00573FA5">
        <w:rPr>
          <w:rFonts w:ascii="Century Schoolbook" w:hAnsi="Century Schoolbook"/>
          <w:sz w:val="24"/>
          <w:szCs w:val="24"/>
        </w:rPr>
        <w:t xml:space="preserve"> received healthcare benefits from particular plan</w:t>
      </w:r>
      <w:r w:rsidR="00EC6368">
        <w:rPr>
          <w:rFonts w:ascii="Century Schoolbook" w:hAnsi="Century Schoolbook"/>
          <w:sz w:val="24"/>
          <w:szCs w:val="24"/>
        </w:rPr>
        <w:t>s</w:t>
      </w:r>
      <w:r w:rsidRPr="00573FA5">
        <w:rPr>
          <w:rFonts w:ascii="Century Schoolbook" w:hAnsi="Century Schoolbook"/>
          <w:sz w:val="24"/>
          <w:szCs w:val="24"/>
        </w:rPr>
        <w:t xml:space="preserve"> during relevant time period</w:t>
      </w:r>
      <w:r>
        <w:rPr>
          <w:rFonts w:ascii="Century Schoolbook" w:hAnsi="Century Schoolbook"/>
          <w:sz w:val="24"/>
          <w:szCs w:val="24"/>
        </w:rPr>
        <w:t>s</w:t>
      </w:r>
      <w:r w:rsidRPr="00573FA5">
        <w:rPr>
          <w:rFonts w:ascii="Century Schoolbook" w:hAnsi="Century Schoolbook"/>
          <w:sz w:val="24"/>
          <w:szCs w:val="24"/>
        </w:rPr>
        <w:t xml:space="preserve">. </w:t>
      </w:r>
      <w:r>
        <w:rPr>
          <w:rFonts w:ascii="Century Schoolbook" w:hAnsi="Century Schoolbook"/>
          <w:sz w:val="24"/>
          <w:szCs w:val="24"/>
        </w:rPr>
        <w:t xml:space="preserve">The </w:t>
      </w:r>
      <w:r w:rsidRPr="00573FA5">
        <w:rPr>
          <w:rFonts w:ascii="Century Schoolbook" w:hAnsi="Century Schoolbook"/>
          <w:sz w:val="24"/>
          <w:szCs w:val="24"/>
        </w:rPr>
        <w:t xml:space="preserve">claims and medical records </w:t>
      </w:r>
      <w:r>
        <w:rPr>
          <w:rFonts w:ascii="Century Schoolbook" w:hAnsi="Century Schoolbook"/>
          <w:sz w:val="24"/>
          <w:szCs w:val="24"/>
        </w:rPr>
        <w:t xml:space="preserve">of identified plaintiffs </w:t>
      </w:r>
      <w:r w:rsidRPr="00573FA5">
        <w:rPr>
          <w:rFonts w:ascii="Century Schoolbook" w:hAnsi="Century Schoolbook"/>
          <w:sz w:val="24"/>
          <w:szCs w:val="24"/>
        </w:rPr>
        <w:t xml:space="preserve">are reviewed to ensure that lienholder </w:t>
      </w:r>
      <w:r>
        <w:rPr>
          <w:rFonts w:ascii="Century Schoolbook" w:hAnsi="Century Schoolbook"/>
          <w:sz w:val="24"/>
          <w:szCs w:val="24"/>
        </w:rPr>
        <w:t xml:space="preserve">are repaid </w:t>
      </w:r>
      <w:r w:rsidRPr="00573FA5">
        <w:rPr>
          <w:rFonts w:ascii="Century Schoolbook" w:hAnsi="Century Schoolbook"/>
          <w:sz w:val="24"/>
          <w:szCs w:val="24"/>
        </w:rPr>
        <w:t xml:space="preserve">only for expenses actually </w:t>
      </w:r>
      <w:r>
        <w:rPr>
          <w:rFonts w:ascii="Century Schoolbook" w:hAnsi="Century Schoolbook"/>
          <w:sz w:val="24"/>
          <w:szCs w:val="24"/>
        </w:rPr>
        <w:t xml:space="preserve">incurred </w:t>
      </w:r>
      <w:r w:rsidRPr="00573FA5">
        <w:rPr>
          <w:rFonts w:ascii="Century Schoolbook" w:hAnsi="Century Schoolbook"/>
          <w:sz w:val="24"/>
          <w:szCs w:val="24"/>
        </w:rPr>
        <w:t>and directly related to alleged injur</w:t>
      </w:r>
      <w:r>
        <w:rPr>
          <w:rFonts w:ascii="Century Schoolbook" w:hAnsi="Century Schoolbook"/>
          <w:sz w:val="24"/>
          <w:szCs w:val="24"/>
        </w:rPr>
        <w:t>ies</w:t>
      </w:r>
      <w:r w:rsidRPr="00573FA5">
        <w:rPr>
          <w:rFonts w:ascii="Century Schoolbook" w:hAnsi="Century Schoolbook"/>
          <w:sz w:val="24"/>
          <w:szCs w:val="24"/>
        </w:rPr>
        <w:t xml:space="preserve"> for which settlement compensation is being paid. </w:t>
      </w:r>
      <w:r>
        <w:rPr>
          <w:rFonts w:ascii="Century Schoolbook" w:hAnsi="Century Schoolbook"/>
          <w:sz w:val="24"/>
          <w:szCs w:val="24"/>
        </w:rPr>
        <w:t>T</w:t>
      </w:r>
      <w:r w:rsidRPr="00573FA5">
        <w:rPr>
          <w:rFonts w:ascii="Century Schoolbook" w:hAnsi="Century Schoolbook"/>
          <w:sz w:val="24"/>
          <w:szCs w:val="24"/>
        </w:rPr>
        <w:t xml:space="preserve">he final lien amount is determined using various strategies, depending on the type of lien at issue. </w:t>
      </w:r>
    </w:p>
    <w:p w:rsidR="00610156" w:rsidRPr="00573FA5" w:rsidRDefault="00610156" w:rsidP="00610156">
      <w:pPr>
        <w:ind w:firstLine="720"/>
        <w:contextualSpacing/>
        <w:rPr>
          <w:rFonts w:ascii="Century Schoolbook" w:hAnsi="Century Schoolbook"/>
          <w:sz w:val="24"/>
          <w:szCs w:val="24"/>
        </w:rPr>
      </w:pPr>
    </w:p>
    <w:p w:rsidR="00610156" w:rsidRDefault="00CA3C6F" w:rsidP="00610156">
      <w:pPr>
        <w:ind w:firstLine="720"/>
        <w:contextualSpacing/>
        <w:rPr>
          <w:rFonts w:ascii="Century Schoolbook" w:hAnsi="Century Schoolbook"/>
          <w:sz w:val="24"/>
          <w:szCs w:val="24"/>
        </w:rPr>
      </w:pPr>
      <w:r w:rsidRPr="00573FA5">
        <w:rPr>
          <w:rFonts w:ascii="Century Schoolbook" w:hAnsi="Century Schoolbook"/>
          <w:sz w:val="24"/>
          <w:szCs w:val="24"/>
        </w:rPr>
        <w:t xml:space="preserve">Because resolving healthcare liens can take months, </w:t>
      </w:r>
      <w:r>
        <w:rPr>
          <w:rFonts w:ascii="Century Schoolbook" w:hAnsi="Century Schoolbook"/>
          <w:sz w:val="24"/>
          <w:szCs w:val="24"/>
        </w:rPr>
        <w:t>even</w:t>
      </w:r>
      <w:r w:rsidRPr="00573FA5">
        <w:rPr>
          <w:rFonts w:ascii="Century Schoolbook" w:hAnsi="Century Schoolbook"/>
          <w:sz w:val="24"/>
          <w:szCs w:val="24"/>
        </w:rPr>
        <w:t xml:space="preserve"> years, the court-designated representatives should design a </w:t>
      </w:r>
      <w:r>
        <w:rPr>
          <w:rFonts w:ascii="Century Schoolbook" w:hAnsi="Century Schoolbook"/>
          <w:sz w:val="24"/>
          <w:szCs w:val="24"/>
        </w:rPr>
        <w:t xml:space="preserve">lien resolution </w:t>
      </w:r>
      <w:r w:rsidRPr="00573FA5">
        <w:rPr>
          <w:rFonts w:ascii="Century Schoolbook" w:hAnsi="Century Schoolbook"/>
          <w:sz w:val="24"/>
          <w:szCs w:val="24"/>
        </w:rPr>
        <w:t xml:space="preserve">plan </w:t>
      </w:r>
      <w:r>
        <w:rPr>
          <w:rFonts w:ascii="Century Schoolbook" w:hAnsi="Century Schoolbook"/>
          <w:sz w:val="24"/>
          <w:szCs w:val="24"/>
        </w:rPr>
        <w:t xml:space="preserve">as expeditiously </w:t>
      </w:r>
      <w:r w:rsidRPr="00573FA5">
        <w:rPr>
          <w:rFonts w:ascii="Century Schoolbook" w:hAnsi="Century Schoolbook"/>
          <w:sz w:val="24"/>
          <w:szCs w:val="24"/>
        </w:rPr>
        <w:t xml:space="preserve">as possible. The parties should consider </w:t>
      </w:r>
      <w:r>
        <w:rPr>
          <w:rFonts w:ascii="Century Schoolbook" w:hAnsi="Century Schoolbook"/>
          <w:sz w:val="24"/>
          <w:szCs w:val="24"/>
        </w:rPr>
        <w:t xml:space="preserve">engaging </w:t>
      </w:r>
      <w:r w:rsidRPr="00573FA5">
        <w:rPr>
          <w:rFonts w:ascii="Century Schoolbook" w:hAnsi="Century Schoolbook"/>
          <w:sz w:val="24"/>
          <w:szCs w:val="24"/>
        </w:rPr>
        <w:t xml:space="preserve">a Lien Resolution Administrator to </w:t>
      </w:r>
      <w:r>
        <w:rPr>
          <w:rFonts w:ascii="Century Schoolbook" w:hAnsi="Century Schoolbook"/>
          <w:sz w:val="24"/>
          <w:szCs w:val="24"/>
        </w:rPr>
        <w:t>facilitate</w:t>
      </w:r>
      <w:r w:rsidRPr="00573FA5">
        <w:rPr>
          <w:rFonts w:ascii="Century Schoolbook" w:hAnsi="Century Schoolbook"/>
          <w:sz w:val="24"/>
          <w:szCs w:val="24"/>
        </w:rPr>
        <w:t xml:space="preserve"> the entire lien resolution process. </w:t>
      </w:r>
      <w:r>
        <w:rPr>
          <w:rFonts w:ascii="Century Schoolbook" w:hAnsi="Century Schoolbook"/>
          <w:sz w:val="24"/>
          <w:szCs w:val="24"/>
        </w:rPr>
        <w:t>Professional</w:t>
      </w:r>
      <w:r w:rsidRPr="00573FA5">
        <w:rPr>
          <w:rFonts w:ascii="Century Schoolbook" w:hAnsi="Century Schoolbook"/>
          <w:sz w:val="24"/>
          <w:szCs w:val="24"/>
        </w:rPr>
        <w:t xml:space="preserve"> Lien Resolution Administrator</w:t>
      </w:r>
      <w:r>
        <w:rPr>
          <w:rFonts w:ascii="Century Schoolbook" w:hAnsi="Century Schoolbook"/>
          <w:sz w:val="24"/>
          <w:szCs w:val="24"/>
        </w:rPr>
        <w:t>s</w:t>
      </w:r>
      <w:r w:rsidRPr="00573FA5">
        <w:rPr>
          <w:rFonts w:ascii="Century Schoolbook" w:hAnsi="Century Schoolbook"/>
          <w:sz w:val="24"/>
          <w:szCs w:val="24"/>
        </w:rPr>
        <w:t xml:space="preserve"> reduce the workload for firms looking to conserve resources, and ensure </w:t>
      </w:r>
      <w:r>
        <w:rPr>
          <w:rFonts w:ascii="Century Schoolbook" w:hAnsi="Century Schoolbook"/>
          <w:sz w:val="24"/>
          <w:szCs w:val="24"/>
        </w:rPr>
        <w:t xml:space="preserve">efficient </w:t>
      </w:r>
      <w:r w:rsidRPr="00573FA5">
        <w:rPr>
          <w:rFonts w:ascii="Century Schoolbook" w:hAnsi="Century Schoolbook"/>
          <w:sz w:val="24"/>
          <w:szCs w:val="24"/>
        </w:rPr>
        <w:t>healthcare lien handl</w:t>
      </w:r>
      <w:r>
        <w:rPr>
          <w:rFonts w:ascii="Century Schoolbook" w:hAnsi="Century Schoolbook"/>
          <w:sz w:val="24"/>
          <w:szCs w:val="24"/>
        </w:rPr>
        <w:t>ing</w:t>
      </w:r>
      <w:r w:rsidRPr="00573FA5">
        <w:rPr>
          <w:rFonts w:ascii="Century Schoolbook" w:hAnsi="Century Schoolbook"/>
          <w:sz w:val="24"/>
          <w:szCs w:val="24"/>
        </w:rPr>
        <w:t xml:space="preserve"> by </w:t>
      </w:r>
      <w:r>
        <w:rPr>
          <w:rFonts w:ascii="Century Schoolbook" w:hAnsi="Century Schoolbook"/>
          <w:sz w:val="24"/>
          <w:szCs w:val="24"/>
        </w:rPr>
        <w:t>persons with</w:t>
      </w:r>
      <w:r w:rsidRPr="00573FA5">
        <w:rPr>
          <w:rFonts w:ascii="Century Schoolbook" w:hAnsi="Century Schoolbook"/>
          <w:sz w:val="24"/>
          <w:szCs w:val="24"/>
        </w:rPr>
        <w:t xml:space="preserve"> knowledge</w:t>
      </w:r>
      <w:r>
        <w:rPr>
          <w:rFonts w:ascii="Century Schoolbook" w:hAnsi="Century Schoolbook"/>
          <w:sz w:val="24"/>
          <w:szCs w:val="24"/>
        </w:rPr>
        <w:t>,</w:t>
      </w:r>
      <w:r w:rsidRPr="00573FA5">
        <w:rPr>
          <w:rFonts w:ascii="Century Schoolbook" w:hAnsi="Century Schoolbook"/>
          <w:sz w:val="24"/>
          <w:szCs w:val="24"/>
        </w:rPr>
        <w:t xml:space="preserve"> experience </w:t>
      </w:r>
      <w:r>
        <w:rPr>
          <w:rFonts w:ascii="Century Schoolbook" w:hAnsi="Century Schoolbook"/>
          <w:sz w:val="24"/>
          <w:szCs w:val="24"/>
        </w:rPr>
        <w:t xml:space="preserve">and </w:t>
      </w:r>
      <w:r w:rsidRPr="00573FA5">
        <w:rPr>
          <w:rFonts w:ascii="Century Schoolbook" w:hAnsi="Century Schoolbook"/>
          <w:sz w:val="24"/>
          <w:szCs w:val="24"/>
        </w:rPr>
        <w:t xml:space="preserve">well-established connections </w:t>
      </w:r>
      <w:r>
        <w:rPr>
          <w:rFonts w:ascii="Century Schoolbook" w:hAnsi="Century Schoolbook"/>
          <w:sz w:val="24"/>
          <w:szCs w:val="24"/>
        </w:rPr>
        <w:t xml:space="preserve">for </w:t>
      </w:r>
      <w:r w:rsidRPr="00573FA5">
        <w:rPr>
          <w:rFonts w:ascii="Century Schoolbook" w:hAnsi="Century Schoolbook"/>
          <w:sz w:val="24"/>
          <w:szCs w:val="24"/>
        </w:rPr>
        <w:t>dealing with the various lienholders’ recovery agents</w:t>
      </w:r>
      <w:r>
        <w:rPr>
          <w:rFonts w:ascii="Century Schoolbook" w:hAnsi="Century Schoolbook"/>
          <w:sz w:val="24"/>
          <w:szCs w:val="24"/>
        </w:rPr>
        <w:t xml:space="preserve">, such as the </w:t>
      </w:r>
      <w:r w:rsidRPr="00573FA5">
        <w:rPr>
          <w:rFonts w:ascii="Century Schoolbook" w:hAnsi="Century Schoolbook"/>
          <w:sz w:val="24"/>
          <w:szCs w:val="24"/>
        </w:rPr>
        <w:t xml:space="preserve">52 separate state Medicaid lien recovery programs. </w:t>
      </w:r>
      <w:r>
        <w:rPr>
          <w:rFonts w:ascii="Century Schoolbook" w:hAnsi="Century Schoolbook"/>
          <w:sz w:val="24"/>
          <w:szCs w:val="24"/>
        </w:rPr>
        <w:t>A</w:t>
      </w:r>
      <w:r w:rsidRPr="00573FA5">
        <w:rPr>
          <w:rFonts w:ascii="Century Schoolbook" w:hAnsi="Century Schoolbook"/>
          <w:sz w:val="24"/>
          <w:szCs w:val="24"/>
        </w:rPr>
        <w:t xml:space="preserve"> Lien Resolution Administrator also </w:t>
      </w:r>
      <w:r>
        <w:rPr>
          <w:rFonts w:ascii="Century Schoolbook" w:hAnsi="Century Schoolbook"/>
          <w:sz w:val="24"/>
          <w:szCs w:val="24"/>
        </w:rPr>
        <w:t xml:space="preserve">ensures </w:t>
      </w:r>
      <w:r w:rsidRPr="00573FA5">
        <w:rPr>
          <w:rFonts w:ascii="Century Schoolbook" w:hAnsi="Century Schoolbook"/>
          <w:sz w:val="24"/>
          <w:szCs w:val="24"/>
        </w:rPr>
        <w:t xml:space="preserve">a transparent, uniform lien resolution process, </w:t>
      </w:r>
      <w:r>
        <w:rPr>
          <w:rFonts w:ascii="Century Schoolbook" w:hAnsi="Century Schoolbook"/>
          <w:sz w:val="24"/>
          <w:szCs w:val="24"/>
        </w:rPr>
        <w:t xml:space="preserve">so </w:t>
      </w:r>
      <w:r w:rsidRPr="00573FA5">
        <w:rPr>
          <w:rFonts w:ascii="Century Schoolbook" w:hAnsi="Century Schoolbook"/>
          <w:sz w:val="24"/>
          <w:szCs w:val="24"/>
        </w:rPr>
        <w:t>that similarly-situated participating plaintiffs achieve similar outcomes.</w:t>
      </w:r>
    </w:p>
    <w:p w:rsidR="00610156" w:rsidRPr="00573FA5" w:rsidRDefault="00610156" w:rsidP="00610156">
      <w:pPr>
        <w:ind w:firstLine="720"/>
        <w:contextualSpacing/>
        <w:rPr>
          <w:rFonts w:ascii="Century Schoolbook" w:hAnsi="Century Schoolbook"/>
          <w:sz w:val="24"/>
          <w:szCs w:val="24"/>
        </w:rPr>
      </w:pPr>
    </w:p>
    <w:p w:rsidR="00610156" w:rsidRPr="00573FA5" w:rsidRDefault="00CA3C6F" w:rsidP="00610156">
      <w:pPr>
        <w:ind w:firstLine="720"/>
        <w:contextualSpacing/>
        <w:rPr>
          <w:rFonts w:ascii="Century Schoolbook" w:hAnsi="Century Schoolbook"/>
          <w:sz w:val="24"/>
          <w:szCs w:val="24"/>
        </w:rPr>
      </w:pPr>
      <w:r w:rsidRPr="00573FA5">
        <w:rPr>
          <w:rFonts w:ascii="Century Schoolbook" w:hAnsi="Century Schoolbook"/>
          <w:sz w:val="24"/>
          <w:szCs w:val="24"/>
        </w:rPr>
        <w:t>Medicare liens are often resolved under a “global model</w:t>
      </w:r>
      <w:r>
        <w:rPr>
          <w:rFonts w:ascii="Century Schoolbook" w:hAnsi="Century Schoolbook"/>
          <w:sz w:val="24"/>
          <w:szCs w:val="24"/>
        </w:rPr>
        <w:t>,</w:t>
      </w:r>
      <w:r w:rsidRPr="00573FA5">
        <w:rPr>
          <w:rFonts w:ascii="Century Schoolbook" w:hAnsi="Century Schoolbook"/>
          <w:sz w:val="24"/>
          <w:szCs w:val="24"/>
        </w:rPr>
        <w:t xml:space="preserve">” </w:t>
      </w:r>
      <w:r>
        <w:rPr>
          <w:rFonts w:ascii="Century Schoolbook" w:hAnsi="Century Schoolbook"/>
          <w:sz w:val="24"/>
          <w:szCs w:val="24"/>
        </w:rPr>
        <w:t xml:space="preserve">which </w:t>
      </w:r>
      <w:r w:rsidRPr="00573FA5">
        <w:rPr>
          <w:rFonts w:ascii="Century Schoolbook" w:hAnsi="Century Schoolbook"/>
          <w:sz w:val="24"/>
          <w:szCs w:val="24"/>
        </w:rPr>
        <w:t xml:space="preserve">avoids the time delays and costs associated with resolving thousands of claims on a traditional case-by-case basis. Construction of a global model requires analysis of the routine costs associated with the medically-accepted standard of care for the treatment and care of the injuries at issue in a particular MDL. This data is then used to determine a uniform reimbursement value for all claims in any injury category. </w:t>
      </w:r>
    </w:p>
    <w:p w:rsidR="00500576" w:rsidRDefault="00500576" w:rsidP="00500576">
      <w:pPr>
        <w:ind w:firstLine="720"/>
        <w:contextualSpacing/>
        <w:rPr>
          <w:rFonts w:ascii="Century Schoolbook" w:hAnsi="Century Schoolbook"/>
          <w:sz w:val="24"/>
          <w:szCs w:val="24"/>
        </w:rPr>
      </w:pPr>
    </w:p>
    <w:p w:rsidR="00500576" w:rsidRPr="00573FA5" w:rsidRDefault="00500576" w:rsidP="00500576">
      <w:pPr>
        <w:ind w:firstLine="720"/>
        <w:contextualSpacing/>
        <w:rPr>
          <w:rFonts w:ascii="Century Schoolbook" w:hAnsi="Century Schoolbook"/>
          <w:sz w:val="24"/>
          <w:szCs w:val="24"/>
        </w:rPr>
      </w:pPr>
      <w:r>
        <w:rPr>
          <w:rFonts w:ascii="Century Schoolbook" w:hAnsi="Century Schoolbook"/>
          <w:sz w:val="24"/>
          <w:szCs w:val="24"/>
        </w:rPr>
        <w:t xml:space="preserve">There are 52 separate state Medicaid lien recovery programs, which complicates the resolution of Medicaid liens.  One advantage of using an experienced Lien Resolution Administrator is that they should already have well established connections with these recovery programs. </w:t>
      </w:r>
    </w:p>
    <w:p w:rsidR="00500576" w:rsidRDefault="00500576" w:rsidP="00610156">
      <w:pPr>
        <w:ind w:firstLine="720"/>
        <w:contextualSpacing/>
        <w:rPr>
          <w:rFonts w:ascii="Century Schoolbook" w:hAnsi="Century Schoolbook"/>
          <w:sz w:val="24"/>
          <w:szCs w:val="24"/>
        </w:rPr>
      </w:pPr>
    </w:p>
    <w:p w:rsidR="00610156" w:rsidRDefault="00CA3C6F" w:rsidP="00610156">
      <w:pPr>
        <w:ind w:firstLine="720"/>
        <w:contextualSpacing/>
        <w:rPr>
          <w:rFonts w:ascii="Century Schoolbook" w:hAnsi="Century Schoolbook"/>
          <w:sz w:val="24"/>
          <w:szCs w:val="24"/>
        </w:rPr>
      </w:pPr>
      <w:r w:rsidRPr="00573FA5">
        <w:rPr>
          <w:rFonts w:ascii="Century Schoolbook" w:hAnsi="Century Schoolbook"/>
          <w:sz w:val="24"/>
          <w:szCs w:val="24"/>
        </w:rPr>
        <w:t xml:space="preserve">Resolving Medicare Part C </w:t>
      </w:r>
      <w:r>
        <w:rPr>
          <w:rFonts w:ascii="Century Schoolbook" w:hAnsi="Century Schoolbook"/>
          <w:sz w:val="24"/>
          <w:szCs w:val="24"/>
        </w:rPr>
        <w:t xml:space="preserve">and other </w:t>
      </w:r>
      <w:r w:rsidRPr="00573FA5">
        <w:rPr>
          <w:rFonts w:ascii="Century Schoolbook" w:hAnsi="Century Schoolbook"/>
          <w:sz w:val="24"/>
          <w:szCs w:val="24"/>
        </w:rPr>
        <w:t xml:space="preserve">private liens in mass litigations, presents additional difficulties because, unlike federal Medicare and state Medicaid programs, there is no centralized </w:t>
      </w:r>
      <w:r>
        <w:rPr>
          <w:rFonts w:ascii="Century Schoolbook" w:hAnsi="Century Schoolbook"/>
          <w:sz w:val="24"/>
          <w:szCs w:val="24"/>
        </w:rPr>
        <w:t xml:space="preserve">system </w:t>
      </w:r>
      <w:r w:rsidR="00EC6368">
        <w:rPr>
          <w:rFonts w:ascii="Century Schoolbook" w:hAnsi="Century Schoolbook"/>
          <w:sz w:val="24"/>
          <w:szCs w:val="24"/>
        </w:rPr>
        <w:t>through which a Lien Resolution A</w:t>
      </w:r>
      <w:r w:rsidRPr="00573FA5">
        <w:rPr>
          <w:rFonts w:ascii="Century Schoolbook" w:hAnsi="Century Schoolbook"/>
          <w:sz w:val="24"/>
          <w:szCs w:val="24"/>
        </w:rPr>
        <w:t xml:space="preserve">dministrator or the parties can affirmatively identify whether </w:t>
      </w:r>
      <w:r>
        <w:rPr>
          <w:rFonts w:ascii="Century Schoolbook" w:hAnsi="Century Schoolbook"/>
          <w:sz w:val="24"/>
          <w:szCs w:val="24"/>
        </w:rPr>
        <w:t xml:space="preserve">liens exist in favor of </w:t>
      </w:r>
      <w:r w:rsidRPr="00573FA5">
        <w:rPr>
          <w:rFonts w:ascii="Century Schoolbook" w:hAnsi="Century Schoolbook"/>
          <w:sz w:val="24"/>
          <w:szCs w:val="24"/>
        </w:rPr>
        <w:t xml:space="preserve">one of the thousands of potential private health plans. Many private insurers hire private recovery contractors to manage lien claims. The court-designated representatives should consider </w:t>
      </w:r>
      <w:r>
        <w:rPr>
          <w:rFonts w:ascii="Century Schoolbook" w:hAnsi="Century Schoolbook"/>
          <w:sz w:val="24"/>
          <w:szCs w:val="24"/>
        </w:rPr>
        <w:t>establishing</w:t>
      </w:r>
      <w:r w:rsidR="00F22AE3">
        <w:rPr>
          <w:rFonts w:ascii="Century Schoolbook" w:hAnsi="Century Schoolbook"/>
          <w:sz w:val="24"/>
          <w:szCs w:val="24"/>
        </w:rPr>
        <w:t xml:space="preserve"> </w:t>
      </w:r>
      <w:r w:rsidRPr="00573FA5">
        <w:rPr>
          <w:rFonts w:ascii="Century Schoolbook" w:hAnsi="Century Schoolbook"/>
          <w:sz w:val="24"/>
          <w:szCs w:val="24"/>
        </w:rPr>
        <w:t>a Private Resolution Program (“PLRP”) to verif</w:t>
      </w:r>
      <w:r>
        <w:rPr>
          <w:rFonts w:ascii="Century Schoolbook" w:hAnsi="Century Schoolbook"/>
          <w:sz w:val="24"/>
          <w:szCs w:val="24"/>
        </w:rPr>
        <w:t xml:space="preserve">y </w:t>
      </w:r>
      <w:r w:rsidRPr="00573FA5">
        <w:rPr>
          <w:rFonts w:ascii="Century Schoolbook" w:hAnsi="Century Schoolbook"/>
          <w:sz w:val="24"/>
          <w:szCs w:val="24"/>
        </w:rPr>
        <w:t>and resol</w:t>
      </w:r>
      <w:r>
        <w:rPr>
          <w:rFonts w:ascii="Century Schoolbook" w:hAnsi="Century Schoolbook"/>
          <w:sz w:val="24"/>
          <w:szCs w:val="24"/>
        </w:rPr>
        <w:t>ve</w:t>
      </w:r>
      <w:r w:rsidRPr="00573FA5">
        <w:rPr>
          <w:rFonts w:ascii="Century Schoolbook" w:hAnsi="Century Schoolbook"/>
          <w:sz w:val="24"/>
          <w:szCs w:val="24"/>
        </w:rPr>
        <w:t xml:space="preserve"> the complexities </w:t>
      </w:r>
      <w:r>
        <w:rPr>
          <w:rFonts w:ascii="Century Schoolbook" w:hAnsi="Century Schoolbook"/>
          <w:sz w:val="24"/>
          <w:szCs w:val="24"/>
        </w:rPr>
        <w:t xml:space="preserve">of </w:t>
      </w:r>
      <w:r w:rsidRPr="00573FA5">
        <w:rPr>
          <w:rFonts w:ascii="Century Schoolbook" w:hAnsi="Century Schoolbook"/>
          <w:sz w:val="24"/>
          <w:szCs w:val="24"/>
        </w:rPr>
        <w:t xml:space="preserve">private lien </w:t>
      </w:r>
      <w:r>
        <w:rPr>
          <w:rFonts w:ascii="Century Schoolbook" w:hAnsi="Century Schoolbook"/>
          <w:sz w:val="24"/>
          <w:szCs w:val="24"/>
        </w:rPr>
        <w:t>payment</w:t>
      </w:r>
      <w:r w:rsidRPr="00573FA5">
        <w:rPr>
          <w:rFonts w:ascii="Century Schoolbook" w:hAnsi="Century Schoolbook"/>
          <w:sz w:val="24"/>
          <w:szCs w:val="24"/>
        </w:rPr>
        <w:t xml:space="preserve">. An experienced Lien Resolution Administrator can assist in untangling these complexities and help identify the necessary recovery contractors needed in order to have an effective PLRP. </w:t>
      </w:r>
    </w:p>
    <w:p w:rsidR="00F2448D" w:rsidRDefault="00F2448D" w:rsidP="00610156">
      <w:pPr>
        <w:ind w:firstLine="720"/>
        <w:contextualSpacing/>
        <w:rPr>
          <w:rFonts w:ascii="Century Schoolbook" w:hAnsi="Century Schoolbook"/>
          <w:sz w:val="24"/>
          <w:szCs w:val="24"/>
        </w:rPr>
      </w:pPr>
    </w:p>
    <w:p w:rsidR="009E622F" w:rsidRPr="00573FA5" w:rsidRDefault="009E622F" w:rsidP="00610156">
      <w:pPr>
        <w:ind w:firstLine="720"/>
        <w:contextualSpacing/>
        <w:rPr>
          <w:rFonts w:ascii="Century Schoolbook" w:hAnsi="Century Schoolbook"/>
          <w:sz w:val="24"/>
          <w:szCs w:val="24"/>
        </w:rPr>
      </w:pPr>
    </w:p>
    <w:p w:rsidR="00610156" w:rsidRPr="00573FA5" w:rsidRDefault="00610156" w:rsidP="00610156">
      <w:pPr>
        <w:ind w:firstLine="720"/>
        <w:contextualSpacing/>
        <w:rPr>
          <w:rFonts w:ascii="Century Schoolbook" w:hAnsi="Century Schoolbook"/>
          <w:sz w:val="24"/>
          <w:szCs w:val="24"/>
        </w:rPr>
      </w:pPr>
    </w:p>
    <w:p w:rsidR="00610156" w:rsidRPr="00573FA5" w:rsidRDefault="00CA3C6F" w:rsidP="00610156">
      <w:pPr>
        <w:ind w:left="720" w:right="720"/>
        <w:contextualSpacing/>
        <w:jc w:val="both"/>
        <w:rPr>
          <w:rFonts w:ascii="Century Schoolbook" w:hAnsi="Century Schoolbook"/>
          <w:i/>
          <w:sz w:val="24"/>
          <w:szCs w:val="24"/>
        </w:rPr>
      </w:pPr>
      <w:r w:rsidRPr="00573FA5">
        <w:rPr>
          <w:rFonts w:ascii="Century Schoolbook" w:hAnsi="Century Schoolbook"/>
          <w:smallCaps/>
          <w:sz w:val="24"/>
          <w:szCs w:val="24"/>
        </w:rPr>
        <w:lastRenderedPageBreak/>
        <w:t>Best Practice 17B</w:t>
      </w:r>
      <w:r w:rsidRPr="00573FA5">
        <w:rPr>
          <w:rFonts w:ascii="Century Schoolbook" w:hAnsi="Century Schoolbook"/>
          <w:sz w:val="24"/>
          <w:szCs w:val="24"/>
        </w:rPr>
        <w:t>: The transferee judge should assist the parties in the healthcare lien process by issuing orders, as needed, requiring periodic reporting.</w:t>
      </w:r>
    </w:p>
    <w:p w:rsidR="00610156" w:rsidRPr="00573FA5" w:rsidRDefault="00610156" w:rsidP="00610156">
      <w:pPr>
        <w:ind w:left="720" w:right="720"/>
        <w:contextualSpacing/>
        <w:rPr>
          <w:rFonts w:ascii="Century Schoolbook" w:hAnsi="Century Schoolbook"/>
          <w:sz w:val="24"/>
          <w:szCs w:val="24"/>
        </w:rPr>
      </w:pPr>
    </w:p>
    <w:p w:rsidR="00610156" w:rsidRPr="00573FA5" w:rsidRDefault="00CA3C6F" w:rsidP="00610156">
      <w:pPr>
        <w:ind w:firstLine="720"/>
        <w:contextualSpacing/>
        <w:rPr>
          <w:rFonts w:ascii="Century Schoolbook" w:hAnsi="Century Schoolbook"/>
          <w:sz w:val="24"/>
          <w:szCs w:val="24"/>
        </w:rPr>
      </w:pPr>
      <w:r w:rsidRPr="00573FA5">
        <w:rPr>
          <w:rFonts w:ascii="Century Schoolbook" w:hAnsi="Century Schoolbook"/>
          <w:sz w:val="24"/>
          <w:szCs w:val="24"/>
        </w:rPr>
        <w:t xml:space="preserve">The transferee judge can shorten the healthcare lien resolution timeline by requiring periodic reporting from the parties and lien administrator and by assisting, when needed, in advancing the process. </w:t>
      </w:r>
    </w:p>
    <w:p w:rsidR="00610156" w:rsidRPr="00573FA5" w:rsidRDefault="00610156" w:rsidP="00610156">
      <w:pPr>
        <w:ind w:firstLine="720"/>
        <w:contextualSpacing/>
        <w:rPr>
          <w:rFonts w:ascii="Century Schoolbook" w:hAnsi="Century Schoolbook"/>
          <w:sz w:val="24"/>
          <w:szCs w:val="24"/>
        </w:rPr>
      </w:pPr>
    </w:p>
    <w:p w:rsidR="00610156" w:rsidRPr="00573FA5" w:rsidRDefault="00CA3C6F" w:rsidP="00610156">
      <w:pPr>
        <w:ind w:firstLine="720"/>
        <w:contextualSpacing/>
        <w:rPr>
          <w:rFonts w:ascii="Century Schoolbook" w:hAnsi="Century Schoolbook"/>
          <w:sz w:val="24"/>
          <w:szCs w:val="24"/>
        </w:rPr>
      </w:pPr>
      <w:r w:rsidRPr="00573FA5">
        <w:rPr>
          <w:rFonts w:ascii="Century Schoolbook" w:hAnsi="Century Schoolbook"/>
          <w:sz w:val="24"/>
          <w:szCs w:val="24"/>
        </w:rPr>
        <w:t xml:space="preserve">If the parties choose to use a Lien Resolution Administrator, they should </w:t>
      </w:r>
      <w:r>
        <w:rPr>
          <w:rFonts w:ascii="Century Schoolbook" w:hAnsi="Century Schoolbook"/>
          <w:sz w:val="24"/>
          <w:szCs w:val="24"/>
        </w:rPr>
        <w:t xml:space="preserve">seek a court </w:t>
      </w:r>
      <w:r w:rsidRPr="00573FA5">
        <w:rPr>
          <w:rFonts w:ascii="Century Schoolbook" w:hAnsi="Century Schoolbook"/>
          <w:sz w:val="24"/>
          <w:szCs w:val="24"/>
        </w:rPr>
        <w:t xml:space="preserve">order naming that administrator, </w:t>
      </w:r>
      <w:r>
        <w:rPr>
          <w:rFonts w:ascii="Century Schoolbook" w:hAnsi="Century Schoolbook"/>
          <w:sz w:val="24"/>
          <w:szCs w:val="24"/>
        </w:rPr>
        <w:t xml:space="preserve">thereby </w:t>
      </w:r>
      <w:r w:rsidRPr="00573FA5">
        <w:rPr>
          <w:rFonts w:ascii="Century Schoolbook" w:hAnsi="Century Schoolbook"/>
          <w:sz w:val="24"/>
          <w:szCs w:val="24"/>
        </w:rPr>
        <w:t>permit</w:t>
      </w:r>
      <w:r>
        <w:rPr>
          <w:rFonts w:ascii="Century Schoolbook" w:hAnsi="Century Schoolbook"/>
          <w:sz w:val="24"/>
          <w:szCs w:val="24"/>
        </w:rPr>
        <w:t>ting</w:t>
      </w:r>
      <w:r w:rsidRPr="00573FA5">
        <w:rPr>
          <w:rFonts w:ascii="Century Schoolbook" w:hAnsi="Century Schoolbook"/>
          <w:sz w:val="24"/>
          <w:szCs w:val="24"/>
        </w:rPr>
        <w:t xml:space="preserve"> the administrator to communicate </w:t>
      </w:r>
      <w:r>
        <w:rPr>
          <w:rFonts w:ascii="Century Schoolbook" w:hAnsi="Century Schoolbook"/>
          <w:sz w:val="24"/>
          <w:szCs w:val="24"/>
        </w:rPr>
        <w:t xml:space="preserve">directly </w:t>
      </w:r>
      <w:r w:rsidRPr="00573FA5">
        <w:rPr>
          <w:rFonts w:ascii="Century Schoolbook" w:hAnsi="Century Schoolbook"/>
          <w:sz w:val="24"/>
          <w:szCs w:val="24"/>
        </w:rPr>
        <w:t xml:space="preserve">with Medicare and other lienholders. </w:t>
      </w:r>
      <w:r>
        <w:rPr>
          <w:rFonts w:ascii="Century Schoolbook" w:hAnsi="Century Schoolbook"/>
          <w:sz w:val="24"/>
          <w:szCs w:val="24"/>
        </w:rPr>
        <w:t xml:space="preserve">Such an order should also </w:t>
      </w:r>
      <w:r w:rsidRPr="00573FA5">
        <w:rPr>
          <w:rFonts w:ascii="Century Schoolbook" w:hAnsi="Century Schoolbook"/>
          <w:sz w:val="24"/>
          <w:szCs w:val="24"/>
        </w:rPr>
        <w:t>authoriz</w:t>
      </w:r>
      <w:r>
        <w:rPr>
          <w:rFonts w:ascii="Century Schoolbook" w:hAnsi="Century Schoolbook"/>
          <w:sz w:val="24"/>
          <w:szCs w:val="24"/>
        </w:rPr>
        <w:t>e</w:t>
      </w:r>
      <w:r w:rsidRPr="00573FA5">
        <w:rPr>
          <w:rFonts w:ascii="Century Schoolbook" w:hAnsi="Century Schoolbook"/>
          <w:sz w:val="24"/>
          <w:szCs w:val="24"/>
        </w:rPr>
        <w:t xml:space="preserve"> disclosure and exchange of settling plaintiffs’ protected health information.</w:t>
      </w:r>
    </w:p>
    <w:p w:rsidR="00610156" w:rsidRPr="00573FA5" w:rsidRDefault="00610156" w:rsidP="00610156">
      <w:pPr>
        <w:ind w:firstLine="720"/>
        <w:contextualSpacing/>
        <w:jc w:val="center"/>
        <w:rPr>
          <w:rFonts w:ascii="Century Schoolbook" w:hAnsi="Century Schoolbook"/>
          <w:b/>
          <w:sz w:val="24"/>
          <w:szCs w:val="24"/>
        </w:rPr>
      </w:pPr>
    </w:p>
    <w:p w:rsidR="00610156" w:rsidRDefault="00CA3C6F" w:rsidP="00610156">
      <w:pPr>
        <w:spacing w:after="120"/>
        <w:jc w:val="center"/>
        <w:rPr>
          <w:rFonts w:ascii="Century Schoolbook" w:hAnsi="Century Schoolbook"/>
          <w:sz w:val="24"/>
          <w:szCs w:val="24"/>
        </w:rPr>
      </w:pPr>
      <w:r w:rsidRPr="00750975">
        <w:rPr>
          <w:rFonts w:ascii="Century Schoolbook" w:hAnsi="Century Schoolbook"/>
          <w:b/>
          <w:smallCaps/>
          <w:sz w:val="24"/>
          <w:szCs w:val="24"/>
        </w:rPr>
        <w:t>….</w:t>
      </w:r>
      <w:r w:rsidR="00F22AE3">
        <w:rPr>
          <w:rFonts w:ascii="Century Schoolbook" w:hAnsi="Century Schoolbook"/>
          <w:sz w:val="24"/>
          <w:szCs w:val="24"/>
        </w:rPr>
        <w:t>[</w:t>
      </w:r>
      <w:r w:rsidR="00BC2CA2">
        <w:rPr>
          <w:rFonts w:ascii="Century Schoolbook" w:hAnsi="Century Schoolbook"/>
          <w:sz w:val="24"/>
          <w:szCs w:val="24"/>
        </w:rPr>
        <w:t>Material o</w:t>
      </w:r>
      <w:r w:rsidR="00F22AE3">
        <w:rPr>
          <w:rFonts w:ascii="Century Schoolbook" w:hAnsi="Century Schoolbook"/>
          <w:sz w:val="24"/>
          <w:szCs w:val="24"/>
        </w:rPr>
        <w:t>mitted from 2014 MDL Standards and Best Practices.]</w:t>
      </w:r>
    </w:p>
    <w:p w:rsidR="00D07328" w:rsidRPr="00750975" w:rsidRDefault="00D07328" w:rsidP="00610156">
      <w:pPr>
        <w:spacing w:after="120"/>
        <w:jc w:val="center"/>
        <w:rPr>
          <w:rFonts w:ascii="Century Schoolbook" w:hAnsi="Century Schoolbook"/>
          <w:b/>
          <w:smallCaps/>
          <w:sz w:val="24"/>
          <w:szCs w:val="24"/>
        </w:rPr>
      </w:pPr>
    </w:p>
    <w:p w:rsidR="00610156" w:rsidRPr="00750975" w:rsidRDefault="00CA3C6F" w:rsidP="00610156">
      <w:pPr>
        <w:jc w:val="center"/>
        <w:rPr>
          <w:rFonts w:ascii="Century Schoolbook" w:hAnsi="Century Schoolbook"/>
          <w:b/>
          <w:smallCaps/>
          <w:sz w:val="24"/>
          <w:szCs w:val="24"/>
        </w:rPr>
      </w:pPr>
      <w:r w:rsidRPr="00750975">
        <w:rPr>
          <w:rFonts w:ascii="Century Schoolbook" w:hAnsi="Century Schoolbook"/>
          <w:b/>
          <w:smallCaps/>
          <w:sz w:val="24"/>
          <w:szCs w:val="24"/>
        </w:rPr>
        <w:t>CHAPTER 7</w:t>
      </w:r>
    </w:p>
    <w:p w:rsidR="00610156" w:rsidRPr="00750975" w:rsidRDefault="00610156" w:rsidP="00610156">
      <w:pPr>
        <w:jc w:val="center"/>
        <w:rPr>
          <w:rFonts w:ascii="Century Schoolbook" w:hAnsi="Century Schoolbook"/>
          <w:b/>
          <w:smallCaps/>
          <w:sz w:val="24"/>
          <w:szCs w:val="24"/>
        </w:rPr>
      </w:pPr>
    </w:p>
    <w:p w:rsidR="00610156" w:rsidRDefault="00CA3C6F" w:rsidP="00610156">
      <w:pPr>
        <w:jc w:val="center"/>
        <w:rPr>
          <w:rFonts w:ascii="Century Schoolbook" w:hAnsi="Century Schoolbook"/>
          <w:b/>
          <w:smallCaps/>
          <w:sz w:val="24"/>
          <w:szCs w:val="24"/>
        </w:rPr>
      </w:pPr>
      <w:r w:rsidRPr="00750975">
        <w:rPr>
          <w:rFonts w:ascii="Century Schoolbook" w:hAnsi="Century Schoolbook"/>
          <w:b/>
          <w:smallCaps/>
          <w:sz w:val="24"/>
          <w:szCs w:val="24"/>
        </w:rPr>
        <w:t>FEDERAL/STATE COORDINATION</w:t>
      </w:r>
    </w:p>
    <w:p w:rsidR="00D07328" w:rsidRPr="00750975" w:rsidRDefault="00D07328" w:rsidP="00610156">
      <w:pPr>
        <w:jc w:val="center"/>
        <w:rPr>
          <w:rFonts w:ascii="Century Schoolbook" w:hAnsi="Century Schoolbook"/>
          <w:b/>
          <w:smallCaps/>
          <w:sz w:val="24"/>
          <w:szCs w:val="24"/>
        </w:rPr>
      </w:pPr>
    </w:p>
    <w:p w:rsidR="00610156" w:rsidRPr="00750975" w:rsidRDefault="00CA3C6F" w:rsidP="00610156">
      <w:pPr>
        <w:jc w:val="center"/>
        <w:rPr>
          <w:rFonts w:ascii="Century Schoolbook" w:hAnsi="Century Schoolbook"/>
          <w:b/>
          <w:smallCaps/>
          <w:sz w:val="24"/>
          <w:szCs w:val="24"/>
        </w:rPr>
      </w:pPr>
      <w:r w:rsidRPr="00750975">
        <w:rPr>
          <w:rFonts w:ascii="Century Schoolbook" w:hAnsi="Century Schoolbook"/>
          <w:b/>
          <w:smallCaps/>
          <w:sz w:val="24"/>
          <w:szCs w:val="24"/>
        </w:rPr>
        <w:t>…</w:t>
      </w:r>
      <w:r>
        <w:rPr>
          <w:rFonts w:ascii="Century Schoolbook" w:hAnsi="Century Schoolbook"/>
          <w:b/>
          <w:smallCaps/>
          <w:sz w:val="24"/>
          <w:szCs w:val="24"/>
        </w:rPr>
        <w:t>.</w:t>
      </w:r>
      <w:r w:rsidR="00F22AE3">
        <w:rPr>
          <w:rFonts w:ascii="Century Schoolbook" w:hAnsi="Century Schoolbook"/>
          <w:sz w:val="24"/>
          <w:szCs w:val="24"/>
        </w:rPr>
        <w:t>[</w:t>
      </w:r>
      <w:r w:rsidR="00BC2CA2">
        <w:rPr>
          <w:rFonts w:ascii="Century Schoolbook" w:hAnsi="Century Schoolbook"/>
          <w:sz w:val="24"/>
          <w:szCs w:val="24"/>
        </w:rPr>
        <w:t>Material o</w:t>
      </w:r>
      <w:r w:rsidR="00F22AE3">
        <w:rPr>
          <w:rFonts w:ascii="Century Schoolbook" w:hAnsi="Century Schoolbook"/>
          <w:sz w:val="24"/>
          <w:szCs w:val="24"/>
        </w:rPr>
        <w:t>mitted from 2014 MDL Standards and Best Practices.]</w:t>
      </w:r>
    </w:p>
    <w:p w:rsidR="00610156" w:rsidRPr="00750975" w:rsidRDefault="00610156" w:rsidP="00610156">
      <w:pPr>
        <w:jc w:val="center"/>
        <w:rPr>
          <w:rFonts w:ascii="Century Schoolbook" w:hAnsi="Century Schoolbook"/>
          <w:b/>
          <w:smallCaps/>
          <w:sz w:val="24"/>
          <w:szCs w:val="24"/>
        </w:rPr>
      </w:pPr>
    </w:p>
    <w:p w:rsidR="00610156" w:rsidRPr="00750975" w:rsidRDefault="00610156" w:rsidP="00610156">
      <w:pPr>
        <w:jc w:val="center"/>
        <w:rPr>
          <w:rFonts w:ascii="Century Schoolbook" w:hAnsi="Century Schoolbook"/>
          <w:b/>
          <w:smallCaps/>
          <w:sz w:val="24"/>
          <w:szCs w:val="24"/>
        </w:rPr>
      </w:pPr>
    </w:p>
    <w:p w:rsidR="00610156" w:rsidRPr="00750975" w:rsidRDefault="00610156" w:rsidP="00610156">
      <w:pPr>
        <w:jc w:val="center"/>
        <w:rPr>
          <w:rFonts w:ascii="Century Schoolbook" w:hAnsi="Century Schoolbook"/>
          <w:b/>
          <w:smallCaps/>
          <w:sz w:val="24"/>
          <w:szCs w:val="24"/>
        </w:rPr>
      </w:pPr>
    </w:p>
    <w:p w:rsidR="00610156" w:rsidRPr="00750975" w:rsidRDefault="00610156" w:rsidP="00610156">
      <w:pPr>
        <w:jc w:val="center"/>
        <w:rPr>
          <w:rFonts w:ascii="Century Schoolbook" w:hAnsi="Century Schoolbook"/>
          <w:b/>
          <w:smallCaps/>
          <w:sz w:val="24"/>
          <w:szCs w:val="24"/>
        </w:rPr>
      </w:pPr>
    </w:p>
    <w:p w:rsidR="00610156" w:rsidRDefault="00610156" w:rsidP="00610156">
      <w:pPr>
        <w:rPr>
          <w:rFonts w:ascii="Century Schoolbook" w:hAnsi="Century Schoolbook"/>
          <w:sz w:val="24"/>
          <w:szCs w:val="24"/>
        </w:rPr>
      </w:pPr>
    </w:p>
    <w:p w:rsidR="00610156" w:rsidRDefault="00610156" w:rsidP="00610156">
      <w:pPr>
        <w:rPr>
          <w:rFonts w:ascii="Century Schoolbook" w:hAnsi="Century Schoolbook"/>
          <w:sz w:val="24"/>
          <w:szCs w:val="24"/>
        </w:rPr>
      </w:pPr>
    </w:p>
    <w:p w:rsidR="00610156" w:rsidRDefault="00610156" w:rsidP="00610156">
      <w:pPr>
        <w:rPr>
          <w:rFonts w:ascii="Century Schoolbook" w:hAnsi="Century Schoolbook"/>
          <w:sz w:val="24"/>
          <w:szCs w:val="24"/>
        </w:rPr>
      </w:pPr>
    </w:p>
    <w:p w:rsidR="00610156" w:rsidRDefault="00610156" w:rsidP="00610156">
      <w:pPr>
        <w:rPr>
          <w:rFonts w:ascii="Century Schoolbook" w:hAnsi="Century Schoolbook"/>
          <w:sz w:val="24"/>
          <w:szCs w:val="24"/>
        </w:rPr>
      </w:pPr>
    </w:p>
    <w:p w:rsidR="00610156" w:rsidRDefault="00610156" w:rsidP="00610156">
      <w:pPr>
        <w:rPr>
          <w:rFonts w:ascii="Century Schoolbook" w:hAnsi="Century Schoolbook"/>
          <w:sz w:val="24"/>
          <w:szCs w:val="24"/>
        </w:rPr>
      </w:pPr>
    </w:p>
    <w:p w:rsidR="00610156" w:rsidRDefault="00610156" w:rsidP="00610156">
      <w:pPr>
        <w:rPr>
          <w:rFonts w:ascii="Century Schoolbook" w:hAnsi="Century Schoolbook"/>
          <w:sz w:val="24"/>
          <w:szCs w:val="24"/>
        </w:rPr>
      </w:pPr>
    </w:p>
    <w:p w:rsidR="00610156" w:rsidRDefault="00610156" w:rsidP="00610156">
      <w:pPr>
        <w:rPr>
          <w:rFonts w:ascii="Century Schoolbook" w:hAnsi="Century Schoolbook"/>
          <w:sz w:val="24"/>
          <w:szCs w:val="24"/>
        </w:rPr>
      </w:pPr>
    </w:p>
    <w:p w:rsidR="00610156" w:rsidRDefault="00610156" w:rsidP="00610156">
      <w:pPr>
        <w:rPr>
          <w:rFonts w:ascii="Century Schoolbook" w:hAnsi="Century Schoolbook"/>
          <w:sz w:val="24"/>
          <w:szCs w:val="24"/>
        </w:rPr>
      </w:pPr>
    </w:p>
    <w:p w:rsidR="00610156" w:rsidRDefault="00610156" w:rsidP="00610156">
      <w:pPr>
        <w:rPr>
          <w:rFonts w:ascii="Century Schoolbook" w:hAnsi="Century Schoolbook"/>
          <w:sz w:val="24"/>
          <w:szCs w:val="24"/>
        </w:rPr>
      </w:pPr>
    </w:p>
    <w:p w:rsidR="00610156" w:rsidRDefault="00610156" w:rsidP="00610156">
      <w:pPr>
        <w:rPr>
          <w:rFonts w:ascii="Century Schoolbook" w:hAnsi="Century Schoolbook"/>
          <w:sz w:val="24"/>
          <w:szCs w:val="24"/>
        </w:rPr>
      </w:pPr>
    </w:p>
    <w:p w:rsidR="00610156" w:rsidRDefault="00610156" w:rsidP="00610156">
      <w:pPr>
        <w:rPr>
          <w:rFonts w:ascii="Century Schoolbook" w:hAnsi="Century Schoolbook"/>
          <w:sz w:val="24"/>
          <w:szCs w:val="24"/>
        </w:rPr>
      </w:pPr>
    </w:p>
    <w:p w:rsidR="00610156" w:rsidRDefault="00610156" w:rsidP="00610156">
      <w:pPr>
        <w:rPr>
          <w:rFonts w:ascii="Century Schoolbook" w:hAnsi="Century Schoolbook"/>
          <w:sz w:val="24"/>
          <w:szCs w:val="24"/>
        </w:rPr>
      </w:pPr>
    </w:p>
    <w:p w:rsidR="00610156" w:rsidRDefault="00610156" w:rsidP="00610156">
      <w:pPr>
        <w:rPr>
          <w:rFonts w:ascii="Century Schoolbook" w:hAnsi="Century Schoolbook"/>
          <w:sz w:val="24"/>
          <w:szCs w:val="24"/>
        </w:rPr>
      </w:pPr>
    </w:p>
    <w:p w:rsidR="00610156" w:rsidRDefault="00610156" w:rsidP="00610156">
      <w:pPr>
        <w:rPr>
          <w:rFonts w:ascii="Century Schoolbook" w:hAnsi="Century Schoolbook"/>
          <w:sz w:val="24"/>
          <w:szCs w:val="24"/>
        </w:rPr>
      </w:pPr>
    </w:p>
    <w:p w:rsidR="00610156" w:rsidRDefault="00610156" w:rsidP="00610156">
      <w:pPr>
        <w:rPr>
          <w:rFonts w:ascii="Century Schoolbook" w:hAnsi="Century Schoolbook"/>
          <w:sz w:val="24"/>
          <w:szCs w:val="24"/>
        </w:rPr>
      </w:pPr>
    </w:p>
    <w:p w:rsidR="00610156" w:rsidRPr="00573FA5" w:rsidRDefault="00610156" w:rsidP="00610156">
      <w:pPr>
        <w:rPr>
          <w:rFonts w:ascii="Century Schoolbook" w:hAnsi="Century Schoolbook"/>
          <w:sz w:val="24"/>
          <w:szCs w:val="24"/>
        </w:rPr>
      </w:pPr>
    </w:p>
    <w:p w:rsidR="00610156" w:rsidRPr="00573FA5" w:rsidRDefault="00610156" w:rsidP="00610156">
      <w:pPr>
        <w:rPr>
          <w:rFonts w:ascii="Century Schoolbook" w:hAnsi="Century Schoolbook"/>
          <w:sz w:val="24"/>
          <w:szCs w:val="24"/>
        </w:rPr>
      </w:pPr>
    </w:p>
    <w:p w:rsidR="00610156" w:rsidRPr="00573FA5" w:rsidRDefault="00610156" w:rsidP="00610156">
      <w:pPr>
        <w:rPr>
          <w:rFonts w:ascii="Century Schoolbook" w:hAnsi="Century Schoolbook"/>
          <w:sz w:val="24"/>
          <w:szCs w:val="24"/>
        </w:rPr>
      </w:pPr>
    </w:p>
    <w:p w:rsidR="00610156" w:rsidRPr="00573FA5" w:rsidRDefault="00610156" w:rsidP="00610156">
      <w:pPr>
        <w:rPr>
          <w:rFonts w:ascii="Century Schoolbook" w:hAnsi="Century Schoolbook"/>
          <w:sz w:val="24"/>
          <w:szCs w:val="24"/>
        </w:rPr>
      </w:pPr>
    </w:p>
    <w:p w:rsidR="00610156" w:rsidRDefault="00CA3C6F" w:rsidP="00610156">
      <w:pPr>
        <w:jc w:val="center"/>
        <w:rPr>
          <w:rFonts w:ascii="Century Schoolbook" w:hAnsi="Century Schoolbook"/>
          <w:b/>
          <w:smallCaps/>
          <w:sz w:val="32"/>
          <w:szCs w:val="32"/>
        </w:rPr>
      </w:pPr>
      <w:r>
        <w:rPr>
          <w:rFonts w:ascii="Century Schoolbook" w:hAnsi="Century Schoolbook"/>
          <w:b/>
          <w:smallCaps/>
          <w:sz w:val="32"/>
          <w:szCs w:val="32"/>
        </w:rPr>
        <w:lastRenderedPageBreak/>
        <w:t>********************************************</w:t>
      </w:r>
    </w:p>
    <w:p w:rsidR="00610156" w:rsidRPr="00573FA5" w:rsidRDefault="00CA3C6F" w:rsidP="00610156">
      <w:pPr>
        <w:jc w:val="center"/>
        <w:rPr>
          <w:rFonts w:ascii="Century Schoolbook" w:hAnsi="Century Schoolbook"/>
          <w:b/>
          <w:smallCaps/>
          <w:sz w:val="32"/>
          <w:szCs w:val="32"/>
        </w:rPr>
      </w:pPr>
      <w:r w:rsidRPr="00573FA5">
        <w:rPr>
          <w:rFonts w:ascii="Century Schoolbook" w:hAnsi="Century Schoolbook"/>
          <w:b/>
          <w:smallCaps/>
          <w:sz w:val="32"/>
          <w:szCs w:val="32"/>
        </w:rPr>
        <w:t>Thank you to our Sponsors!</w:t>
      </w:r>
    </w:p>
    <w:p w:rsidR="00610156" w:rsidRPr="00573FA5" w:rsidRDefault="00610156" w:rsidP="00610156">
      <w:pPr>
        <w:rPr>
          <w:rFonts w:ascii="Century Schoolbook" w:hAnsi="Century Schoolbook"/>
          <w:smallCaps/>
          <w:sz w:val="32"/>
          <w:szCs w:val="32"/>
        </w:rPr>
      </w:pPr>
    </w:p>
    <w:p w:rsidR="00610156" w:rsidRPr="00573FA5" w:rsidRDefault="00CA3C6F" w:rsidP="00610156">
      <w:pPr>
        <w:rPr>
          <w:rFonts w:ascii="Century Schoolbook" w:hAnsi="Century Schoolbook"/>
          <w:sz w:val="24"/>
          <w:szCs w:val="24"/>
        </w:rPr>
      </w:pPr>
      <w:r w:rsidRPr="00573FA5">
        <w:rPr>
          <w:rFonts w:ascii="Century Schoolbook" w:hAnsi="Century Schoolbook"/>
          <w:sz w:val="24"/>
          <w:szCs w:val="24"/>
        </w:rPr>
        <w:tab/>
        <w:t xml:space="preserve">The Bolch Judicial Institute gratefully acknowledges the financial support of its sponsors.  The Institute’s law-reform conferences and other related programs rely on the generosity of sponsors’ donations. </w:t>
      </w:r>
    </w:p>
    <w:p w:rsidR="00610156" w:rsidRPr="00573FA5" w:rsidRDefault="00610156" w:rsidP="00610156">
      <w:pPr>
        <w:rPr>
          <w:rFonts w:ascii="Century Schoolbook" w:hAnsi="Century Schoolbook"/>
          <w:sz w:val="24"/>
          <w:szCs w:val="24"/>
        </w:rPr>
      </w:pPr>
    </w:p>
    <w:p w:rsidR="00610156" w:rsidRPr="00573FA5" w:rsidRDefault="00CA3C6F" w:rsidP="00610156">
      <w:pPr>
        <w:jc w:val="center"/>
        <w:rPr>
          <w:rFonts w:ascii="Century Schoolbook" w:hAnsi="Century Schoolbook"/>
          <w:b/>
          <w:smallCaps/>
          <w:sz w:val="32"/>
          <w:szCs w:val="32"/>
        </w:rPr>
      </w:pPr>
      <w:r w:rsidRPr="00573FA5">
        <w:rPr>
          <w:rFonts w:ascii="Century Schoolbook" w:hAnsi="Century Schoolbook"/>
          <w:b/>
          <w:smallCaps/>
          <w:sz w:val="32"/>
          <w:szCs w:val="32"/>
        </w:rPr>
        <w:t>Gold Sponsors</w:t>
      </w:r>
    </w:p>
    <w:p w:rsidR="00610156" w:rsidRPr="00573FA5" w:rsidRDefault="00610156" w:rsidP="00610156">
      <w:pPr>
        <w:jc w:val="center"/>
        <w:rPr>
          <w:rFonts w:ascii="Century Schoolbook" w:hAnsi="Century Schoolbook"/>
          <w:b/>
          <w:sz w:val="28"/>
          <w:szCs w:val="28"/>
        </w:rPr>
      </w:pPr>
    </w:p>
    <w:p w:rsidR="00610156" w:rsidRPr="00573FA5" w:rsidRDefault="00C54BD3" w:rsidP="00610156">
      <w:pPr>
        <w:spacing w:after="120"/>
        <w:jc w:val="center"/>
        <w:rPr>
          <w:rFonts w:ascii="Century Schoolbook" w:hAnsi="Century Schoolbook"/>
          <w:sz w:val="24"/>
          <w:szCs w:val="24"/>
        </w:rPr>
      </w:pPr>
      <w:r>
        <w:rPr>
          <w:rFonts w:ascii="Century Schoolbook" w:hAnsi="Century Schoolbook"/>
          <w:sz w:val="24"/>
          <w:szCs w:val="24"/>
        </w:rPr>
        <w:t>Western Alliance Bank</w:t>
      </w:r>
      <w:bookmarkStart w:id="5" w:name="_GoBack"/>
      <w:bookmarkEnd w:id="5"/>
    </w:p>
    <w:p w:rsidR="00610156" w:rsidRPr="00573FA5" w:rsidRDefault="00CA3C6F" w:rsidP="00610156">
      <w:pPr>
        <w:jc w:val="center"/>
        <w:rPr>
          <w:rFonts w:ascii="Century Schoolbook" w:hAnsi="Century Schoolbook"/>
          <w:sz w:val="24"/>
          <w:szCs w:val="24"/>
        </w:rPr>
      </w:pPr>
      <w:r w:rsidRPr="00573FA5">
        <w:rPr>
          <w:rFonts w:ascii="Century Schoolbook" w:hAnsi="Century Schoolbook"/>
          <w:sz w:val="24"/>
          <w:szCs w:val="24"/>
        </w:rPr>
        <w:t>Huntington Bank</w:t>
      </w:r>
    </w:p>
    <w:p w:rsidR="00610156" w:rsidRPr="00573FA5" w:rsidRDefault="00610156" w:rsidP="00610156">
      <w:pPr>
        <w:jc w:val="center"/>
        <w:rPr>
          <w:rFonts w:ascii="Century Schoolbook" w:hAnsi="Century Schoolbook"/>
          <w:sz w:val="24"/>
          <w:szCs w:val="24"/>
        </w:rPr>
      </w:pPr>
    </w:p>
    <w:p w:rsidR="00610156" w:rsidRPr="00573FA5" w:rsidRDefault="00CA3C6F" w:rsidP="00610156">
      <w:pPr>
        <w:jc w:val="center"/>
        <w:rPr>
          <w:rFonts w:ascii="Century Schoolbook" w:hAnsi="Century Schoolbook"/>
          <w:b/>
          <w:smallCaps/>
          <w:sz w:val="32"/>
          <w:szCs w:val="32"/>
        </w:rPr>
      </w:pPr>
      <w:r w:rsidRPr="00573FA5">
        <w:rPr>
          <w:rFonts w:ascii="Century Schoolbook" w:hAnsi="Century Schoolbook"/>
          <w:b/>
          <w:smallCaps/>
          <w:sz w:val="32"/>
          <w:szCs w:val="32"/>
        </w:rPr>
        <w:t>Silver Sponsors</w:t>
      </w:r>
    </w:p>
    <w:p w:rsidR="00610156" w:rsidRPr="00573FA5" w:rsidRDefault="00610156" w:rsidP="00610156">
      <w:pPr>
        <w:jc w:val="center"/>
        <w:rPr>
          <w:rFonts w:ascii="Century Schoolbook" w:hAnsi="Century Schoolbook"/>
          <w:b/>
          <w:smallCaps/>
          <w:sz w:val="32"/>
          <w:szCs w:val="32"/>
        </w:rPr>
      </w:pPr>
    </w:p>
    <w:tbl>
      <w:tblPr>
        <w:tblStyle w:val="TableGrid"/>
        <w:tblW w:w="5390" w:type="pct"/>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5475"/>
      </w:tblGrid>
      <w:tr w:rsidR="0073533D" w:rsidTr="00610156">
        <w:tc>
          <w:tcPr>
            <w:tcW w:w="2287" w:type="pct"/>
          </w:tcPr>
          <w:p w:rsidR="00610156" w:rsidRPr="00573FA5" w:rsidRDefault="00CA3C6F" w:rsidP="00610156">
            <w:pPr>
              <w:spacing w:after="120"/>
              <w:jc w:val="center"/>
              <w:rPr>
                <w:rFonts w:ascii="Century Schoolbook" w:hAnsi="Century Schoolbook"/>
                <w:sz w:val="24"/>
                <w:szCs w:val="24"/>
              </w:rPr>
            </w:pPr>
            <w:r w:rsidRPr="00573FA5">
              <w:rPr>
                <w:rFonts w:ascii="Century Schoolbook" w:hAnsi="Century Schoolbook"/>
                <w:sz w:val="24"/>
                <w:szCs w:val="24"/>
              </w:rPr>
              <w:t>Altec, Inc.</w:t>
            </w:r>
          </w:p>
          <w:p w:rsidR="00610156" w:rsidRPr="00573FA5" w:rsidRDefault="00CA3C6F" w:rsidP="00610156">
            <w:pPr>
              <w:spacing w:after="120"/>
              <w:jc w:val="center"/>
              <w:rPr>
                <w:rFonts w:ascii="Century Schoolbook" w:hAnsi="Century Schoolbook"/>
                <w:sz w:val="24"/>
                <w:szCs w:val="24"/>
              </w:rPr>
            </w:pPr>
            <w:r w:rsidRPr="00573FA5">
              <w:rPr>
                <w:rFonts w:ascii="Century Schoolbook" w:hAnsi="Century Schoolbook"/>
                <w:sz w:val="24"/>
                <w:szCs w:val="24"/>
              </w:rPr>
              <w:t>Bayer Corporation</w:t>
            </w:r>
          </w:p>
          <w:p w:rsidR="00610156" w:rsidRPr="00573FA5" w:rsidRDefault="00CA3C6F" w:rsidP="00610156">
            <w:pPr>
              <w:spacing w:after="120"/>
              <w:jc w:val="center"/>
              <w:rPr>
                <w:rFonts w:ascii="Century Schoolbook" w:hAnsi="Century Schoolbook"/>
                <w:sz w:val="24"/>
                <w:szCs w:val="24"/>
              </w:rPr>
            </w:pPr>
            <w:r w:rsidRPr="00573FA5">
              <w:rPr>
                <w:rFonts w:ascii="Century Schoolbook" w:hAnsi="Century Schoolbook"/>
                <w:sz w:val="24"/>
                <w:szCs w:val="24"/>
              </w:rPr>
              <w:t>Dechert LLP</w:t>
            </w:r>
          </w:p>
          <w:p w:rsidR="00610156" w:rsidRPr="00573FA5" w:rsidRDefault="00CA3C6F" w:rsidP="00610156">
            <w:pPr>
              <w:spacing w:after="120"/>
              <w:jc w:val="center"/>
              <w:rPr>
                <w:rFonts w:ascii="Century Schoolbook" w:hAnsi="Century Schoolbook"/>
                <w:sz w:val="24"/>
                <w:szCs w:val="24"/>
              </w:rPr>
            </w:pPr>
            <w:r w:rsidRPr="00573FA5">
              <w:rPr>
                <w:rFonts w:ascii="Century Schoolbook" w:hAnsi="Century Schoolbook"/>
                <w:sz w:val="24"/>
                <w:szCs w:val="24"/>
              </w:rPr>
              <w:t>Endo International PLC</w:t>
            </w:r>
          </w:p>
          <w:p w:rsidR="00610156" w:rsidRPr="00573FA5" w:rsidRDefault="00CA3C6F" w:rsidP="00610156">
            <w:pPr>
              <w:spacing w:after="120"/>
              <w:jc w:val="center"/>
              <w:rPr>
                <w:rFonts w:ascii="Century Schoolbook" w:hAnsi="Century Schoolbook"/>
                <w:sz w:val="24"/>
                <w:szCs w:val="24"/>
              </w:rPr>
            </w:pPr>
            <w:r w:rsidRPr="00573FA5">
              <w:rPr>
                <w:rFonts w:ascii="Century Schoolbook" w:hAnsi="Century Schoolbook"/>
                <w:sz w:val="24"/>
                <w:szCs w:val="24"/>
              </w:rPr>
              <w:t>Exxon Mobil</w:t>
            </w:r>
          </w:p>
          <w:p w:rsidR="00610156" w:rsidRPr="00573FA5" w:rsidRDefault="00CA3C6F" w:rsidP="00610156">
            <w:pPr>
              <w:spacing w:after="120"/>
              <w:jc w:val="center"/>
              <w:rPr>
                <w:rFonts w:ascii="Century Schoolbook" w:hAnsi="Century Schoolbook"/>
                <w:sz w:val="24"/>
                <w:szCs w:val="24"/>
              </w:rPr>
            </w:pPr>
            <w:r w:rsidRPr="00573FA5">
              <w:rPr>
                <w:rFonts w:ascii="Century Schoolbook" w:hAnsi="Century Schoolbook"/>
                <w:sz w:val="24"/>
                <w:szCs w:val="24"/>
              </w:rPr>
              <w:t>GE's Power &amp; Water</w:t>
            </w:r>
          </w:p>
          <w:p w:rsidR="00610156" w:rsidRPr="00573FA5" w:rsidRDefault="00CA3C6F" w:rsidP="00610156">
            <w:pPr>
              <w:spacing w:after="120"/>
              <w:jc w:val="center"/>
              <w:rPr>
                <w:rFonts w:ascii="Century Schoolbook" w:hAnsi="Century Schoolbook"/>
                <w:sz w:val="24"/>
                <w:szCs w:val="24"/>
              </w:rPr>
            </w:pPr>
            <w:r w:rsidRPr="00573FA5">
              <w:rPr>
                <w:rFonts w:ascii="Century Schoolbook" w:hAnsi="Century Schoolbook"/>
                <w:sz w:val="24"/>
                <w:szCs w:val="24"/>
              </w:rPr>
              <w:t>Girard Gibbs LLP</w:t>
            </w:r>
          </w:p>
          <w:p w:rsidR="00610156" w:rsidRPr="00573FA5" w:rsidRDefault="00CA3C6F" w:rsidP="00610156">
            <w:pPr>
              <w:spacing w:after="120"/>
              <w:jc w:val="center"/>
              <w:rPr>
                <w:rFonts w:ascii="Century Schoolbook" w:hAnsi="Century Schoolbook"/>
                <w:sz w:val="24"/>
                <w:szCs w:val="24"/>
              </w:rPr>
            </w:pPr>
            <w:r w:rsidRPr="00573FA5">
              <w:rPr>
                <w:rFonts w:ascii="Century Schoolbook" w:hAnsi="Century Schoolbook"/>
                <w:sz w:val="24"/>
                <w:szCs w:val="24"/>
              </w:rPr>
              <w:t>GlaxoSmithKline</w:t>
            </w:r>
          </w:p>
          <w:p w:rsidR="00610156" w:rsidRPr="00573FA5" w:rsidRDefault="00CA3C6F" w:rsidP="00610156">
            <w:pPr>
              <w:spacing w:after="120"/>
              <w:jc w:val="center"/>
              <w:rPr>
                <w:rFonts w:ascii="Century Schoolbook" w:hAnsi="Century Schoolbook"/>
                <w:sz w:val="24"/>
                <w:szCs w:val="24"/>
              </w:rPr>
            </w:pPr>
            <w:r w:rsidRPr="00573FA5">
              <w:rPr>
                <w:rFonts w:ascii="Century Schoolbook" w:hAnsi="Century Schoolbook"/>
                <w:sz w:val="24"/>
                <w:szCs w:val="24"/>
              </w:rPr>
              <w:t>DiCello Levitt &amp; Casey</w:t>
            </w:r>
          </w:p>
          <w:p w:rsidR="00610156" w:rsidRPr="00573FA5" w:rsidRDefault="00CA3C6F" w:rsidP="00610156">
            <w:pPr>
              <w:spacing w:after="120"/>
              <w:jc w:val="center"/>
              <w:rPr>
                <w:rFonts w:ascii="Century Schoolbook" w:hAnsi="Century Schoolbook"/>
                <w:sz w:val="24"/>
                <w:szCs w:val="24"/>
              </w:rPr>
            </w:pPr>
            <w:r w:rsidRPr="00573FA5">
              <w:rPr>
                <w:rFonts w:ascii="Century Schoolbook" w:hAnsi="Century Schoolbook"/>
                <w:sz w:val="24"/>
                <w:szCs w:val="24"/>
              </w:rPr>
              <w:t>Home Depot</w:t>
            </w:r>
          </w:p>
          <w:p w:rsidR="00610156" w:rsidRPr="00573FA5" w:rsidRDefault="00CA3C6F" w:rsidP="00610156">
            <w:pPr>
              <w:spacing w:after="120"/>
              <w:jc w:val="center"/>
              <w:rPr>
                <w:rFonts w:ascii="Century Schoolbook" w:hAnsi="Century Schoolbook"/>
                <w:sz w:val="24"/>
                <w:szCs w:val="24"/>
              </w:rPr>
            </w:pPr>
            <w:r w:rsidRPr="00573FA5">
              <w:rPr>
                <w:rFonts w:ascii="Century Schoolbook" w:hAnsi="Century Schoolbook"/>
                <w:sz w:val="24"/>
                <w:szCs w:val="24"/>
              </w:rPr>
              <w:t>Huntington Bank</w:t>
            </w:r>
          </w:p>
          <w:p w:rsidR="00610156" w:rsidRPr="00573FA5" w:rsidRDefault="00CA3C6F" w:rsidP="00610156">
            <w:pPr>
              <w:spacing w:after="120"/>
              <w:jc w:val="center"/>
              <w:rPr>
                <w:rFonts w:ascii="Century Schoolbook" w:hAnsi="Century Schoolbook"/>
                <w:sz w:val="24"/>
                <w:szCs w:val="24"/>
              </w:rPr>
            </w:pPr>
            <w:r w:rsidRPr="00573FA5">
              <w:rPr>
                <w:rFonts w:ascii="Century Schoolbook" w:hAnsi="Century Schoolbook"/>
                <w:sz w:val="24"/>
                <w:szCs w:val="24"/>
              </w:rPr>
              <w:t>Impact Fund</w:t>
            </w:r>
          </w:p>
          <w:p w:rsidR="00610156" w:rsidRDefault="00CA3C6F" w:rsidP="00610156">
            <w:pPr>
              <w:jc w:val="center"/>
              <w:rPr>
                <w:rFonts w:ascii="Century Schoolbook" w:hAnsi="Century Schoolbook"/>
                <w:sz w:val="24"/>
                <w:szCs w:val="24"/>
              </w:rPr>
            </w:pPr>
            <w:r w:rsidRPr="00573FA5">
              <w:rPr>
                <w:rFonts w:ascii="Century Schoolbook" w:hAnsi="Century Schoolbook"/>
                <w:sz w:val="24"/>
                <w:szCs w:val="24"/>
              </w:rPr>
              <w:t xml:space="preserve">Kessler Topaz Meltzer </w:t>
            </w:r>
          </w:p>
          <w:p w:rsidR="00610156" w:rsidRPr="00573FA5" w:rsidRDefault="00CA3C6F" w:rsidP="00610156">
            <w:pPr>
              <w:spacing w:after="120"/>
              <w:jc w:val="center"/>
              <w:rPr>
                <w:rFonts w:ascii="Century Schoolbook" w:hAnsi="Century Schoolbook"/>
                <w:sz w:val="24"/>
                <w:szCs w:val="24"/>
              </w:rPr>
            </w:pPr>
            <w:r w:rsidRPr="00573FA5">
              <w:rPr>
                <w:rFonts w:ascii="Century Schoolbook" w:hAnsi="Century Schoolbook"/>
                <w:sz w:val="24"/>
                <w:szCs w:val="24"/>
              </w:rPr>
              <w:t>&amp; Check LLP</w:t>
            </w:r>
          </w:p>
          <w:p w:rsidR="00610156" w:rsidRPr="00573FA5" w:rsidRDefault="00CA3C6F" w:rsidP="00610156">
            <w:pPr>
              <w:spacing w:after="120"/>
              <w:jc w:val="center"/>
              <w:rPr>
                <w:rFonts w:ascii="Century Schoolbook" w:hAnsi="Century Schoolbook"/>
                <w:sz w:val="24"/>
                <w:szCs w:val="24"/>
              </w:rPr>
            </w:pPr>
            <w:r w:rsidRPr="00573FA5">
              <w:rPr>
                <w:rFonts w:ascii="Century Schoolbook" w:hAnsi="Century Schoolbook"/>
                <w:sz w:val="24"/>
                <w:szCs w:val="24"/>
              </w:rPr>
              <w:t>King &amp; Spalding</w:t>
            </w:r>
          </w:p>
          <w:p w:rsidR="00610156" w:rsidRPr="00573FA5" w:rsidRDefault="00CA3C6F" w:rsidP="00610156">
            <w:pPr>
              <w:spacing w:after="120"/>
              <w:jc w:val="center"/>
              <w:rPr>
                <w:rFonts w:ascii="Century Schoolbook" w:hAnsi="Century Schoolbook"/>
                <w:sz w:val="24"/>
                <w:szCs w:val="24"/>
              </w:rPr>
            </w:pPr>
            <w:r w:rsidRPr="00573FA5">
              <w:rPr>
                <w:rFonts w:ascii="Century Schoolbook" w:hAnsi="Century Schoolbook"/>
                <w:sz w:val="24"/>
                <w:szCs w:val="24"/>
              </w:rPr>
              <w:t>Kirkland &amp; Ellis LLP</w:t>
            </w:r>
          </w:p>
          <w:p w:rsidR="00610156" w:rsidRDefault="00CA3C6F" w:rsidP="00610156">
            <w:pPr>
              <w:jc w:val="center"/>
              <w:rPr>
                <w:rFonts w:ascii="Century Schoolbook" w:hAnsi="Century Schoolbook"/>
                <w:sz w:val="24"/>
                <w:szCs w:val="24"/>
              </w:rPr>
            </w:pPr>
            <w:r w:rsidRPr="00573FA5">
              <w:rPr>
                <w:rFonts w:ascii="Century Schoolbook" w:hAnsi="Century Schoolbook"/>
                <w:sz w:val="24"/>
                <w:szCs w:val="24"/>
              </w:rPr>
              <w:t xml:space="preserve">Lieff Cabraser Heimann </w:t>
            </w:r>
          </w:p>
          <w:p w:rsidR="00610156" w:rsidRPr="00573FA5" w:rsidRDefault="00CA3C6F" w:rsidP="00610156">
            <w:pPr>
              <w:spacing w:after="120"/>
              <w:jc w:val="center"/>
              <w:rPr>
                <w:rFonts w:ascii="Century Schoolbook" w:hAnsi="Century Schoolbook"/>
                <w:sz w:val="24"/>
                <w:szCs w:val="24"/>
              </w:rPr>
            </w:pPr>
            <w:r w:rsidRPr="00573FA5">
              <w:rPr>
                <w:rFonts w:ascii="Century Schoolbook" w:hAnsi="Century Schoolbook"/>
                <w:sz w:val="24"/>
                <w:szCs w:val="24"/>
              </w:rPr>
              <w:t>&amp; Bernstein LLP</w:t>
            </w:r>
          </w:p>
          <w:p w:rsidR="00610156" w:rsidRPr="00573FA5" w:rsidRDefault="00610156" w:rsidP="00610156">
            <w:pPr>
              <w:spacing w:after="120"/>
              <w:jc w:val="center"/>
              <w:rPr>
                <w:rFonts w:ascii="Century Schoolbook" w:hAnsi="Century Schoolbook"/>
                <w:smallCaps/>
                <w:sz w:val="24"/>
                <w:szCs w:val="24"/>
              </w:rPr>
            </w:pPr>
          </w:p>
        </w:tc>
        <w:tc>
          <w:tcPr>
            <w:tcW w:w="2713" w:type="pct"/>
          </w:tcPr>
          <w:p w:rsidR="00610156" w:rsidRPr="00573FA5" w:rsidRDefault="00CA3C6F" w:rsidP="00610156">
            <w:pPr>
              <w:spacing w:after="120"/>
              <w:jc w:val="center"/>
              <w:rPr>
                <w:rFonts w:ascii="Century Schoolbook" w:hAnsi="Century Schoolbook"/>
                <w:sz w:val="24"/>
                <w:szCs w:val="24"/>
              </w:rPr>
            </w:pPr>
            <w:r w:rsidRPr="00573FA5">
              <w:rPr>
                <w:rFonts w:ascii="Century Schoolbook" w:hAnsi="Century Schoolbook"/>
                <w:sz w:val="24"/>
                <w:szCs w:val="24"/>
              </w:rPr>
              <w:t>Lincoln Financial Group</w:t>
            </w:r>
          </w:p>
          <w:p w:rsidR="00610156" w:rsidRPr="00573FA5" w:rsidRDefault="00CA3C6F" w:rsidP="00610156">
            <w:pPr>
              <w:spacing w:after="120"/>
              <w:jc w:val="center"/>
              <w:rPr>
                <w:rFonts w:ascii="Century Schoolbook" w:hAnsi="Century Schoolbook"/>
                <w:sz w:val="24"/>
                <w:szCs w:val="24"/>
              </w:rPr>
            </w:pPr>
            <w:r w:rsidRPr="00573FA5">
              <w:rPr>
                <w:rFonts w:ascii="Century Schoolbook" w:hAnsi="Century Schoolbook"/>
                <w:sz w:val="24"/>
                <w:szCs w:val="24"/>
              </w:rPr>
              <w:t>Medtronic</w:t>
            </w:r>
          </w:p>
          <w:p w:rsidR="00610156" w:rsidRPr="00573FA5" w:rsidRDefault="00CA3C6F" w:rsidP="00610156">
            <w:pPr>
              <w:spacing w:after="120"/>
              <w:jc w:val="center"/>
              <w:rPr>
                <w:rFonts w:ascii="Century Schoolbook" w:hAnsi="Century Schoolbook"/>
                <w:sz w:val="24"/>
                <w:szCs w:val="24"/>
              </w:rPr>
            </w:pPr>
            <w:r w:rsidRPr="00573FA5">
              <w:rPr>
                <w:rFonts w:ascii="Century Schoolbook" w:hAnsi="Century Schoolbook"/>
                <w:sz w:val="24"/>
                <w:szCs w:val="24"/>
              </w:rPr>
              <w:t>Merck</w:t>
            </w:r>
          </w:p>
          <w:p w:rsidR="00610156" w:rsidRPr="00573FA5" w:rsidRDefault="00CA3C6F" w:rsidP="00610156">
            <w:pPr>
              <w:spacing w:after="120"/>
              <w:jc w:val="center"/>
              <w:rPr>
                <w:rFonts w:ascii="Century Schoolbook" w:hAnsi="Century Schoolbook"/>
                <w:sz w:val="24"/>
                <w:szCs w:val="24"/>
              </w:rPr>
            </w:pPr>
            <w:r w:rsidRPr="00573FA5">
              <w:rPr>
                <w:rFonts w:ascii="Century Schoolbook" w:hAnsi="Century Schoolbook"/>
                <w:sz w:val="24"/>
                <w:szCs w:val="24"/>
              </w:rPr>
              <w:t>The Moskowitz Law Firm</w:t>
            </w:r>
          </w:p>
          <w:p w:rsidR="00610156" w:rsidRPr="00573FA5" w:rsidRDefault="00CA3C6F" w:rsidP="00610156">
            <w:pPr>
              <w:spacing w:after="120"/>
              <w:jc w:val="center"/>
              <w:rPr>
                <w:rFonts w:ascii="Century Schoolbook" w:hAnsi="Century Schoolbook"/>
                <w:sz w:val="24"/>
                <w:szCs w:val="24"/>
              </w:rPr>
            </w:pPr>
            <w:r w:rsidRPr="00573FA5">
              <w:rPr>
                <w:rFonts w:ascii="Century Schoolbook" w:hAnsi="Century Schoolbook"/>
                <w:sz w:val="24"/>
                <w:szCs w:val="24"/>
              </w:rPr>
              <w:t>Motley Rice LLC</w:t>
            </w:r>
          </w:p>
          <w:p w:rsidR="00610156" w:rsidRPr="00573FA5" w:rsidRDefault="00CA3C6F" w:rsidP="00610156">
            <w:pPr>
              <w:spacing w:after="120"/>
              <w:jc w:val="center"/>
              <w:rPr>
                <w:rFonts w:ascii="Century Schoolbook" w:hAnsi="Century Schoolbook"/>
                <w:sz w:val="24"/>
                <w:szCs w:val="24"/>
              </w:rPr>
            </w:pPr>
            <w:r w:rsidRPr="00573FA5">
              <w:rPr>
                <w:rFonts w:ascii="Century Schoolbook" w:hAnsi="Century Schoolbook"/>
                <w:sz w:val="24"/>
                <w:szCs w:val="24"/>
              </w:rPr>
              <w:t>NastLaw LLC</w:t>
            </w:r>
          </w:p>
          <w:p w:rsidR="00610156" w:rsidRPr="00573FA5" w:rsidRDefault="00CA3C6F" w:rsidP="00610156">
            <w:pPr>
              <w:spacing w:after="120"/>
              <w:jc w:val="center"/>
              <w:rPr>
                <w:rFonts w:ascii="Century Schoolbook" w:hAnsi="Century Schoolbook"/>
                <w:sz w:val="24"/>
                <w:szCs w:val="24"/>
              </w:rPr>
            </w:pPr>
            <w:r w:rsidRPr="00573FA5">
              <w:rPr>
                <w:rFonts w:ascii="Century Schoolbook" w:hAnsi="Century Schoolbook"/>
                <w:sz w:val="24"/>
                <w:szCs w:val="24"/>
              </w:rPr>
              <w:t>Pfizer, Inc.</w:t>
            </w:r>
          </w:p>
          <w:p w:rsidR="00610156" w:rsidRPr="00573FA5" w:rsidRDefault="00CA3C6F" w:rsidP="00610156">
            <w:pPr>
              <w:spacing w:after="120"/>
              <w:jc w:val="center"/>
              <w:rPr>
                <w:rFonts w:ascii="Century Schoolbook" w:hAnsi="Century Schoolbook"/>
                <w:sz w:val="24"/>
                <w:szCs w:val="24"/>
              </w:rPr>
            </w:pPr>
            <w:r w:rsidRPr="00573FA5">
              <w:rPr>
                <w:rFonts w:ascii="Century Schoolbook" w:hAnsi="Century Schoolbook"/>
                <w:sz w:val="24"/>
                <w:szCs w:val="24"/>
              </w:rPr>
              <w:t>Podhurst Orseck PA</w:t>
            </w:r>
          </w:p>
          <w:p w:rsidR="00610156" w:rsidRDefault="00CA3C6F" w:rsidP="00610156">
            <w:pPr>
              <w:jc w:val="center"/>
              <w:rPr>
                <w:rFonts w:ascii="Century Schoolbook" w:hAnsi="Century Schoolbook"/>
                <w:sz w:val="24"/>
                <w:szCs w:val="24"/>
              </w:rPr>
            </w:pPr>
            <w:r w:rsidRPr="00573FA5">
              <w:rPr>
                <w:rFonts w:ascii="Century Schoolbook" w:hAnsi="Century Schoolbook"/>
                <w:sz w:val="24"/>
                <w:szCs w:val="24"/>
              </w:rPr>
              <w:t xml:space="preserve">Quinn Emanuel Urquhart </w:t>
            </w:r>
          </w:p>
          <w:p w:rsidR="00610156" w:rsidRPr="00573FA5" w:rsidRDefault="00CA3C6F" w:rsidP="00610156">
            <w:pPr>
              <w:spacing w:after="120"/>
              <w:jc w:val="center"/>
              <w:rPr>
                <w:rFonts w:ascii="Century Schoolbook" w:hAnsi="Century Schoolbook"/>
                <w:sz w:val="24"/>
                <w:szCs w:val="24"/>
              </w:rPr>
            </w:pPr>
            <w:r w:rsidRPr="00573FA5">
              <w:rPr>
                <w:rFonts w:ascii="Century Schoolbook" w:hAnsi="Century Schoolbook"/>
                <w:sz w:val="24"/>
                <w:szCs w:val="24"/>
              </w:rPr>
              <w:t>&amp; Sullivan LLP</w:t>
            </w:r>
          </w:p>
          <w:p w:rsidR="00610156" w:rsidRPr="00573FA5" w:rsidRDefault="00CA3C6F" w:rsidP="00610156">
            <w:pPr>
              <w:spacing w:after="120"/>
              <w:jc w:val="center"/>
              <w:rPr>
                <w:rFonts w:ascii="Century Schoolbook" w:hAnsi="Century Schoolbook"/>
                <w:sz w:val="24"/>
                <w:szCs w:val="24"/>
              </w:rPr>
            </w:pPr>
            <w:r w:rsidRPr="00573FA5">
              <w:rPr>
                <w:rFonts w:ascii="Century Schoolbook" w:hAnsi="Century Schoolbook"/>
                <w:sz w:val="24"/>
                <w:szCs w:val="24"/>
              </w:rPr>
              <w:t>Seeger Weiss LLP</w:t>
            </w:r>
          </w:p>
          <w:p w:rsidR="00610156" w:rsidRDefault="00CA3C6F" w:rsidP="00610156">
            <w:pPr>
              <w:jc w:val="center"/>
              <w:rPr>
                <w:rFonts w:ascii="Century Schoolbook" w:hAnsi="Century Schoolbook"/>
                <w:sz w:val="24"/>
                <w:szCs w:val="24"/>
              </w:rPr>
            </w:pPr>
            <w:r w:rsidRPr="00573FA5">
              <w:rPr>
                <w:rFonts w:ascii="Century Schoolbook" w:hAnsi="Century Schoolbook"/>
                <w:sz w:val="24"/>
                <w:szCs w:val="24"/>
              </w:rPr>
              <w:t xml:space="preserve">Skadden Arps Slate Meagher </w:t>
            </w:r>
          </w:p>
          <w:p w:rsidR="00610156" w:rsidRPr="00573FA5" w:rsidRDefault="00CA3C6F" w:rsidP="00610156">
            <w:pPr>
              <w:spacing w:after="120"/>
              <w:jc w:val="center"/>
              <w:rPr>
                <w:rFonts w:ascii="Century Schoolbook" w:hAnsi="Century Schoolbook"/>
                <w:sz w:val="24"/>
                <w:szCs w:val="24"/>
              </w:rPr>
            </w:pPr>
            <w:r w:rsidRPr="00573FA5">
              <w:rPr>
                <w:rFonts w:ascii="Century Schoolbook" w:hAnsi="Century Schoolbook"/>
                <w:sz w:val="24"/>
                <w:szCs w:val="24"/>
              </w:rPr>
              <w:t>&amp; Flom LLP</w:t>
            </w:r>
          </w:p>
          <w:p w:rsidR="00610156" w:rsidRPr="00573FA5" w:rsidRDefault="00CA3C6F" w:rsidP="00610156">
            <w:pPr>
              <w:spacing w:after="120"/>
              <w:jc w:val="center"/>
              <w:rPr>
                <w:rFonts w:ascii="Century Schoolbook" w:hAnsi="Century Schoolbook"/>
                <w:sz w:val="24"/>
                <w:szCs w:val="24"/>
              </w:rPr>
            </w:pPr>
            <w:r w:rsidRPr="00573FA5">
              <w:rPr>
                <w:rFonts w:ascii="Century Schoolbook" w:hAnsi="Century Schoolbook"/>
                <w:sz w:val="24"/>
                <w:szCs w:val="24"/>
              </w:rPr>
              <w:t>State Farm Insurance</w:t>
            </w:r>
          </w:p>
          <w:p w:rsidR="00610156" w:rsidRDefault="00CA3C6F" w:rsidP="00610156">
            <w:pPr>
              <w:jc w:val="center"/>
              <w:rPr>
                <w:rFonts w:ascii="Century Schoolbook" w:hAnsi="Century Schoolbook"/>
                <w:sz w:val="24"/>
                <w:szCs w:val="24"/>
              </w:rPr>
            </w:pPr>
            <w:r w:rsidRPr="00573FA5">
              <w:rPr>
                <w:rFonts w:ascii="Century Schoolbook" w:hAnsi="Century Schoolbook"/>
                <w:sz w:val="24"/>
                <w:szCs w:val="24"/>
              </w:rPr>
              <w:t xml:space="preserve">Stone Pigman Walther </w:t>
            </w:r>
          </w:p>
          <w:p w:rsidR="00610156" w:rsidRPr="00573FA5" w:rsidRDefault="00CA3C6F" w:rsidP="00610156">
            <w:pPr>
              <w:spacing w:after="120"/>
              <w:jc w:val="center"/>
              <w:rPr>
                <w:rFonts w:ascii="Century Schoolbook" w:hAnsi="Century Schoolbook"/>
                <w:sz w:val="24"/>
                <w:szCs w:val="24"/>
              </w:rPr>
            </w:pPr>
            <w:r w:rsidRPr="00573FA5">
              <w:rPr>
                <w:rFonts w:ascii="Century Schoolbook" w:hAnsi="Century Schoolbook"/>
                <w:sz w:val="24"/>
                <w:szCs w:val="24"/>
              </w:rPr>
              <w:t>&amp; Wittmann LLC</w:t>
            </w:r>
          </w:p>
          <w:p w:rsidR="00610156" w:rsidRPr="00573FA5" w:rsidRDefault="00CA3C6F" w:rsidP="00610156">
            <w:pPr>
              <w:spacing w:after="120"/>
              <w:jc w:val="center"/>
              <w:rPr>
                <w:rFonts w:ascii="Century Schoolbook" w:hAnsi="Century Schoolbook"/>
                <w:b/>
                <w:sz w:val="24"/>
                <w:szCs w:val="24"/>
              </w:rPr>
            </w:pPr>
            <w:r w:rsidRPr="00573FA5">
              <w:rPr>
                <w:rFonts w:ascii="Century Schoolbook" w:hAnsi="Century Schoolbook"/>
                <w:sz w:val="24"/>
                <w:szCs w:val="24"/>
              </w:rPr>
              <w:t>Toyota Motor North America, Inc.</w:t>
            </w:r>
          </w:p>
          <w:p w:rsidR="00610156" w:rsidRPr="00573FA5" w:rsidRDefault="00610156" w:rsidP="00610156">
            <w:pPr>
              <w:spacing w:after="120"/>
              <w:jc w:val="center"/>
              <w:rPr>
                <w:rFonts w:ascii="Century Schoolbook" w:hAnsi="Century Schoolbook"/>
                <w:sz w:val="24"/>
                <w:szCs w:val="24"/>
              </w:rPr>
            </w:pPr>
          </w:p>
          <w:p w:rsidR="00610156" w:rsidRPr="00573FA5" w:rsidRDefault="00610156" w:rsidP="00610156">
            <w:pPr>
              <w:spacing w:after="120"/>
              <w:jc w:val="center"/>
              <w:rPr>
                <w:rFonts w:ascii="Century Schoolbook" w:hAnsi="Century Schoolbook"/>
                <w:smallCaps/>
                <w:sz w:val="24"/>
                <w:szCs w:val="24"/>
              </w:rPr>
            </w:pPr>
          </w:p>
        </w:tc>
      </w:tr>
    </w:tbl>
    <w:p w:rsidR="00610156" w:rsidRPr="00573FA5" w:rsidRDefault="00610156">
      <w:pPr>
        <w:rPr>
          <w:rFonts w:ascii="Century Schoolbook" w:hAnsi="Century Schoolbook"/>
          <w:b/>
          <w:sz w:val="24"/>
          <w:szCs w:val="24"/>
        </w:rPr>
      </w:pPr>
    </w:p>
    <w:sectPr w:rsidR="00610156" w:rsidRPr="00573FA5" w:rsidSect="00610156">
      <w:foot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F8F" w:rsidRDefault="00827F8F">
      <w:r>
        <w:separator/>
      </w:r>
    </w:p>
  </w:endnote>
  <w:endnote w:type="continuationSeparator" w:id="0">
    <w:p w:rsidR="00827F8F" w:rsidRDefault="00827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981678"/>
      <w:docPartObj>
        <w:docPartGallery w:val="Page Numbers (Bottom of Page)"/>
        <w:docPartUnique/>
      </w:docPartObj>
    </w:sdtPr>
    <w:sdtEndPr>
      <w:rPr>
        <w:noProof/>
      </w:rPr>
    </w:sdtEndPr>
    <w:sdtContent>
      <w:p w:rsidR="00DC0D9B" w:rsidRDefault="00DC0D9B">
        <w:pPr>
          <w:pStyle w:val="Footer"/>
          <w:jc w:val="center"/>
        </w:pPr>
        <w:r>
          <w:fldChar w:fldCharType="begin"/>
        </w:r>
        <w:r>
          <w:instrText xml:space="preserve"> PAGE   \* MERGEFORMAT </w:instrText>
        </w:r>
        <w:r>
          <w:fldChar w:fldCharType="separate"/>
        </w:r>
        <w:r w:rsidR="00D66510">
          <w:rPr>
            <w:noProof/>
          </w:rPr>
          <w:t>44</w:t>
        </w:r>
        <w:r>
          <w:rPr>
            <w:noProof/>
          </w:rPr>
          <w:fldChar w:fldCharType="end"/>
        </w:r>
      </w:p>
    </w:sdtContent>
  </w:sdt>
  <w:p w:rsidR="00DC0D9B" w:rsidRDefault="00DC0D9B">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4423655"/>
      <w:docPartObj>
        <w:docPartGallery w:val="Page Numbers (Bottom of Page)"/>
        <w:docPartUnique/>
      </w:docPartObj>
    </w:sdtPr>
    <w:sdtEndPr>
      <w:rPr>
        <w:noProof/>
      </w:rPr>
    </w:sdtEndPr>
    <w:sdtContent>
      <w:p w:rsidR="00DC0D9B" w:rsidRDefault="00DC0D9B">
        <w:pPr>
          <w:pStyle w:val="Footer"/>
          <w:jc w:val="center"/>
        </w:pPr>
        <w:r>
          <w:fldChar w:fldCharType="begin"/>
        </w:r>
        <w:r>
          <w:instrText xml:space="preserve"> PAGE   \* MERGEFORMAT </w:instrText>
        </w:r>
        <w:r>
          <w:fldChar w:fldCharType="separate"/>
        </w:r>
        <w:r w:rsidR="00D66510">
          <w:rPr>
            <w:noProof/>
          </w:rPr>
          <w:t>i</w:t>
        </w:r>
        <w:r>
          <w:rPr>
            <w:noProof/>
          </w:rPr>
          <w:fldChar w:fldCharType="end"/>
        </w:r>
      </w:p>
    </w:sdtContent>
  </w:sdt>
  <w:p w:rsidR="00DC0D9B" w:rsidRDefault="00DC0D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0081676"/>
      <w:docPartObj>
        <w:docPartGallery w:val="Page Numbers (Bottom of Page)"/>
        <w:docPartUnique/>
      </w:docPartObj>
    </w:sdtPr>
    <w:sdtEndPr>
      <w:rPr>
        <w:noProof/>
      </w:rPr>
    </w:sdtEndPr>
    <w:sdtContent>
      <w:p w:rsidR="00DC0D9B" w:rsidRDefault="00DC0D9B">
        <w:pPr>
          <w:pStyle w:val="Footer"/>
          <w:jc w:val="center"/>
        </w:pPr>
        <w:r>
          <w:fldChar w:fldCharType="begin"/>
        </w:r>
        <w:r>
          <w:instrText xml:space="preserve"> PAGE   \* MERGEFORMAT </w:instrText>
        </w:r>
        <w:r>
          <w:fldChar w:fldCharType="separate"/>
        </w:r>
        <w:r w:rsidR="00D66510">
          <w:rPr>
            <w:noProof/>
          </w:rPr>
          <w:t>1</w:t>
        </w:r>
        <w:r>
          <w:rPr>
            <w:noProof/>
          </w:rPr>
          <w:fldChar w:fldCharType="end"/>
        </w:r>
      </w:p>
    </w:sdtContent>
  </w:sdt>
  <w:p w:rsidR="00DC0D9B" w:rsidRDefault="00DC0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F8F" w:rsidRDefault="00827F8F" w:rsidP="00610156">
      <w:r>
        <w:separator/>
      </w:r>
    </w:p>
  </w:footnote>
  <w:footnote w:type="continuationSeparator" w:id="0">
    <w:p w:rsidR="00827F8F" w:rsidRDefault="00827F8F" w:rsidP="00610156">
      <w:r>
        <w:continuationSeparator/>
      </w:r>
    </w:p>
  </w:footnote>
  <w:footnote w:id="1">
    <w:p w:rsidR="00DC0D9B" w:rsidRPr="00DC0D9B" w:rsidRDefault="00DC0D9B" w:rsidP="00610156">
      <w:pPr>
        <w:pStyle w:val="FootnoteText"/>
        <w:rPr>
          <w:rFonts w:ascii="Century Schoolbook" w:hAnsi="Century Schoolbook"/>
          <w:sz w:val="18"/>
          <w:szCs w:val="18"/>
        </w:rPr>
      </w:pPr>
      <w:r w:rsidRPr="00DC0D9B">
        <w:rPr>
          <w:rStyle w:val="FootnoteReference"/>
          <w:rFonts w:ascii="Century Schoolbook" w:hAnsi="Century Schoolbook"/>
          <w:sz w:val="18"/>
          <w:szCs w:val="18"/>
        </w:rPr>
        <w:footnoteRef/>
      </w:r>
      <w:r w:rsidRPr="00DC0D9B">
        <w:rPr>
          <w:rFonts w:ascii="Century Schoolbook" w:hAnsi="Century Schoolbook"/>
          <w:sz w:val="18"/>
          <w:szCs w:val="18"/>
        </w:rPr>
        <w:t xml:space="preserve"> </w:t>
      </w:r>
      <w:r w:rsidRPr="00DC0D9B">
        <w:rPr>
          <w:rFonts w:ascii="Century Schoolbook" w:hAnsi="Century Schoolbook"/>
          <w:i/>
          <w:sz w:val="18"/>
          <w:szCs w:val="18"/>
        </w:rPr>
        <w:t>See</w:t>
      </w:r>
      <w:r w:rsidRPr="00DC0D9B">
        <w:rPr>
          <w:rFonts w:ascii="Century Schoolbook" w:hAnsi="Century Schoolbook"/>
          <w:sz w:val="18"/>
          <w:szCs w:val="18"/>
        </w:rPr>
        <w:t xml:space="preserve"> </w:t>
      </w:r>
      <w:r w:rsidRPr="00DC0D9B">
        <w:rPr>
          <w:rFonts w:ascii="Century Schoolbook" w:hAnsi="Century Schoolbook"/>
          <w:smallCaps/>
          <w:sz w:val="18"/>
          <w:szCs w:val="18"/>
        </w:rPr>
        <w:t>John H. Beisner &amp; Jessica D. Miller, Eliminate the Tort, Not the Mass: A Modest Proposal for Reforming How Mass Torts Are Adjudicated</w:t>
      </w:r>
      <w:r w:rsidRPr="00DC0D9B">
        <w:rPr>
          <w:rFonts w:ascii="Century Schoolbook" w:hAnsi="Century Schoolbook"/>
          <w:sz w:val="18"/>
          <w:szCs w:val="18"/>
        </w:rPr>
        <w:t xml:space="preserve"> 4 (Wash. Legal Found. 2009), http://www.wlf.org/upload/beisner09.pdf (expressing concern about the quality of mass-tort claims filed in MDL proceedings, noting that “[t]his problem is compounded by the fact that many of the claims are not developed by the filing counsel — they effectively were purchased from other attorneys who advertised to attract claimants in their home markets with no intention of ever litigating the claims themselves”); MCL § 22.83; </w:t>
      </w:r>
      <w:r w:rsidRPr="00DC0D9B">
        <w:rPr>
          <w:rFonts w:ascii="Century Schoolbook" w:hAnsi="Century Schoolbook"/>
          <w:i/>
          <w:sz w:val="18"/>
          <w:szCs w:val="18"/>
        </w:rPr>
        <w:t>see also</w:t>
      </w:r>
      <w:r w:rsidRPr="00DC0D9B">
        <w:rPr>
          <w:rFonts w:ascii="Century Schoolbook" w:hAnsi="Century Schoolbook"/>
          <w:sz w:val="18"/>
          <w:szCs w:val="18"/>
        </w:rPr>
        <w:t xml:space="preserve"> Elizabeth J. Cabraser &amp; Katherine Lehe, </w:t>
      </w:r>
      <w:r w:rsidRPr="00DC0D9B">
        <w:rPr>
          <w:rFonts w:ascii="Century Schoolbook" w:hAnsi="Century Schoolbook"/>
          <w:i/>
          <w:sz w:val="18"/>
          <w:szCs w:val="18"/>
        </w:rPr>
        <w:t>Uncovering Discovery</w:t>
      </w:r>
      <w:r w:rsidRPr="00DC0D9B">
        <w:rPr>
          <w:rFonts w:ascii="Century Schoolbook" w:hAnsi="Century Schoolbook"/>
          <w:sz w:val="18"/>
          <w:szCs w:val="18"/>
        </w:rPr>
        <w:t xml:space="preserve">, 12 </w:t>
      </w:r>
      <w:r w:rsidRPr="00DC0D9B">
        <w:rPr>
          <w:rFonts w:ascii="Century Schoolbook" w:hAnsi="Century Schoolbook"/>
          <w:smallCaps/>
          <w:sz w:val="18"/>
          <w:szCs w:val="18"/>
        </w:rPr>
        <w:t>Sedona Conf. J.</w:t>
      </w:r>
      <w:r w:rsidRPr="00DC0D9B">
        <w:rPr>
          <w:rFonts w:ascii="Century Schoolbook" w:hAnsi="Century Schoolbook"/>
          <w:sz w:val="18"/>
          <w:szCs w:val="18"/>
        </w:rPr>
        <w:t xml:space="preserve"> 1, 8 n.40 (2011) (“The use of ‘fact sheets’ to streamline discovery by replacing formal interrogatories with supposedly less onerous, more fact-oriented formats is now a common practice in mass tort multidistrict litigation.”).</w:t>
      </w:r>
    </w:p>
  </w:footnote>
  <w:footnote w:id="2">
    <w:p w:rsidR="00DC0D9B" w:rsidRPr="00C239C8" w:rsidRDefault="00DC0D9B" w:rsidP="00610156">
      <w:pPr>
        <w:pStyle w:val="FootnoteText"/>
        <w:rPr>
          <w:rFonts w:ascii="Century Schoolbook" w:hAnsi="Century Schoolbook"/>
        </w:rPr>
      </w:pPr>
      <w:r w:rsidRPr="00DC0D9B">
        <w:rPr>
          <w:rStyle w:val="FootnoteReference"/>
          <w:rFonts w:ascii="Century Schoolbook" w:hAnsi="Century Schoolbook"/>
          <w:sz w:val="18"/>
          <w:szCs w:val="18"/>
        </w:rPr>
        <w:footnoteRef/>
      </w:r>
      <w:r w:rsidRPr="00DC0D9B">
        <w:rPr>
          <w:rFonts w:ascii="Century Schoolbook" w:hAnsi="Century Schoolbook"/>
          <w:sz w:val="18"/>
          <w:szCs w:val="18"/>
        </w:rPr>
        <w:t xml:space="preserve"> </w:t>
      </w:r>
      <w:r w:rsidRPr="00DC0D9B">
        <w:rPr>
          <w:rFonts w:ascii="Century Schoolbook" w:hAnsi="Century Schoolbook"/>
          <w:i/>
          <w:iCs/>
          <w:sz w:val="18"/>
          <w:szCs w:val="18"/>
        </w:rPr>
        <w:t>See, e.g.</w:t>
      </w:r>
      <w:r w:rsidRPr="00DC0D9B">
        <w:rPr>
          <w:rFonts w:ascii="Century Schoolbook" w:hAnsi="Century Schoolbook"/>
          <w:iCs/>
          <w:sz w:val="18"/>
          <w:szCs w:val="18"/>
        </w:rPr>
        <w:t>,</w:t>
      </w:r>
      <w:r w:rsidRPr="00DC0D9B">
        <w:rPr>
          <w:rFonts w:ascii="Century Schoolbook" w:hAnsi="Century Schoolbook"/>
          <w:sz w:val="18"/>
          <w:szCs w:val="18"/>
        </w:rPr>
        <w:t xml:space="preserve"> Pretrial Order No. 6: Plaintiff Fact Sheets and Defendant Fact Sheets at ¶ 12,</w:t>
      </w:r>
      <w:r w:rsidRPr="00DC0D9B">
        <w:rPr>
          <w:rFonts w:ascii="Century Schoolbook" w:hAnsi="Century Schoolbook"/>
          <w:i/>
          <w:iCs/>
          <w:sz w:val="18"/>
          <w:szCs w:val="18"/>
        </w:rPr>
        <w:t xml:space="preserve"> Bextra &amp; Celebrex Marketing Sales Practices &amp; Prods. Liab. Litig</w:t>
      </w:r>
      <w:r w:rsidRPr="00DC0D9B">
        <w:rPr>
          <w:rFonts w:ascii="Century Schoolbook" w:hAnsi="Century Schoolbook"/>
          <w:iCs/>
          <w:sz w:val="18"/>
          <w:szCs w:val="18"/>
        </w:rPr>
        <w:t>.,</w:t>
      </w:r>
      <w:r w:rsidRPr="00DC0D9B">
        <w:rPr>
          <w:rFonts w:ascii="Century Schoolbook" w:hAnsi="Century Schoolbook"/>
          <w:i/>
          <w:iCs/>
          <w:sz w:val="18"/>
          <w:szCs w:val="18"/>
        </w:rPr>
        <w:t xml:space="preserve"> </w:t>
      </w:r>
      <w:r w:rsidRPr="00DC0D9B">
        <w:rPr>
          <w:rFonts w:ascii="Century Schoolbook" w:hAnsi="Century Schoolbook"/>
          <w:sz w:val="18"/>
          <w:szCs w:val="18"/>
        </w:rPr>
        <w:t>MDL No. 1699 (N.D. Cal. Feb. 13, 2006).</w:t>
      </w:r>
    </w:p>
  </w:footnote>
  <w:footnote w:id="3">
    <w:p w:rsidR="00DC0D9B" w:rsidRPr="00DC0D9B" w:rsidRDefault="00DC0D9B" w:rsidP="00610156">
      <w:pPr>
        <w:pStyle w:val="FootnoteText"/>
        <w:rPr>
          <w:rFonts w:ascii="Century Schoolbook" w:hAnsi="Century Schoolbook"/>
          <w:sz w:val="18"/>
          <w:szCs w:val="18"/>
          <w:lang w:val="es-ES"/>
        </w:rPr>
      </w:pPr>
      <w:r w:rsidRPr="00DC0D9B">
        <w:rPr>
          <w:rStyle w:val="FootnoteReference"/>
          <w:rFonts w:ascii="Century Schoolbook" w:hAnsi="Century Schoolbook"/>
          <w:sz w:val="18"/>
          <w:szCs w:val="18"/>
        </w:rPr>
        <w:footnoteRef/>
      </w:r>
      <w:r w:rsidRPr="00DC0D9B">
        <w:rPr>
          <w:rFonts w:ascii="Century Schoolbook" w:hAnsi="Century Schoolbook"/>
          <w:sz w:val="18"/>
          <w:szCs w:val="18"/>
        </w:rPr>
        <w:t xml:space="preserve"> </w:t>
      </w:r>
      <w:r w:rsidRPr="00DC0D9B">
        <w:rPr>
          <w:rFonts w:ascii="Century Schoolbook" w:hAnsi="Century Schoolbook"/>
          <w:i/>
          <w:sz w:val="18"/>
          <w:szCs w:val="18"/>
        </w:rPr>
        <w:t>See, e.g.</w:t>
      </w:r>
      <w:r w:rsidRPr="00DC0D9B">
        <w:rPr>
          <w:rFonts w:ascii="Century Schoolbook" w:hAnsi="Century Schoolbook"/>
          <w:sz w:val="18"/>
          <w:szCs w:val="18"/>
        </w:rPr>
        <w:t xml:space="preserve">, </w:t>
      </w:r>
      <w:r w:rsidRPr="00DC0D9B">
        <w:rPr>
          <w:rFonts w:ascii="Century Schoolbook" w:hAnsi="Century Schoolbook"/>
          <w:iCs/>
          <w:sz w:val="18"/>
          <w:szCs w:val="18"/>
        </w:rPr>
        <w:t xml:space="preserve">Pretrial Order No. 22, Service of Plaintiff Fact Sheets and Defendant Fact Sheets at ¶¶ 6–7, </w:t>
      </w:r>
      <w:r w:rsidRPr="00DC0D9B">
        <w:rPr>
          <w:rFonts w:ascii="Century Schoolbook" w:hAnsi="Century Schoolbook"/>
          <w:i/>
          <w:iCs/>
          <w:sz w:val="18"/>
          <w:szCs w:val="18"/>
        </w:rPr>
        <w:t>In re</w:t>
      </w:r>
      <w:r w:rsidRPr="00DC0D9B">
        <w:rPr>
          <w:rFonts w:ascii="Century Schoolbook" w:hAnsi="Century Schoolbook"/>
          <w:iCs/>
          <w:sz w:val="18"/>
          <w:szCs w:val="18"/>
        </w:rPr>
        <w:t xml:space="preserve"> </w:t>
      </w:r>
      <w:r w:rsidRPr="00DC0D9B">
        <w:rPr>
          <w:rFonts w:ascii="Century Schoolbook" w:hAnsi="Century Schoolbook"/>
          <w:i/>
          <w:iCs/>
          <w:sz w:val="18"/>
          <w:szCs w:val="18"/>
        </w:rPr>
        <w:t xml:space="preserve">Taxotere (Docetaxel) Prods. </w:t>
      </w:r>
      <w:r w:rsidRPr="00DC0D9B">
        <w:rPr>
          <w:rFonts w:ascii="Century Schoolbook" w:hAnsi="Century Schoolbook"/>
          <w:i/>
          <w:iCs/>
          <w:sz w:val="18"/>
          <w:szCs w:val="18"/>
          <w:lang w:val="es-ES"/>
        </w:rPr>
        <w:t>Liab. Litig.</w:t>
      </w:r>
      <w:r w:rsidRPr="00DC0D9B">
        <w:rPr>
          <w:rFonts w:ascii="Century Schoolbook" w:hAnsi="Century Schoolbook"/>
          <w:iCs/>
          <w:sz w:val="18"/>
          <w:szCs w:val="18"/>
          <w:lang w:val="es-ES"/>
        </w:rPr>
        <w:t>, MDL No. 2740 (E.D. La. Mar. 10, 2017).</w:t>
      </w:r>
    </w:p>
  </w:footnote>
  <w:footnote w:id="4">
    <w:p w:rsidR="00DC0D9B" w:rsidRPr="00DC0D9B" w:rsidRDefault="00DC0D9B" w:rsidP="00610156">
      <w:pPr>
        <w:pStyle w:val="FootnoteText"/>
        <w:rPr>
          <w:rFonts w:ascii="Century Schoolbook" w:hAnsi="Century Schoolbook"/>
          <w:iCs/>
          <w:sz w:val="18"/>
          <w:szCs w:val="18"/>
        </w:rPr>
      </w:pPr>
      <w:r w:rsidRPr="00DC0D9B">
        <w:rPr>
          <w:rStyle w:val="FootnoteReference"/>
          <w:rFonts w:ascii="Century Schoolbook" w:hAnsi="Century Schoolbook"/>
          <w:sz w:val="18"/>
          <w:szCs w:val="18"/>
        </w:rPr>
        <w:footnoteRef/>
      </w:r>
      <w:r w:rsidRPr="00DC0D9B">
        <w:rPr>
          <w:rFonts w:ascii="Century Schoolbook" w:hAnsi="Century Schoolbook"/>
          <w:sz w:val="18"/>
          <w:szCs w:val="18"/>
        </w:rPr>
        <w:t xml:space="preserve"> </w:t>
      </w:r>
      <w:r w:rsidRPr="00DC0D9B">
        <w:rPr>
          <w:rFonts w:ascii="Century Schoolbook" w:hAnsi="Century Schoolbook"/>
          <w:i/>
          <w:sz w:val="18"/>
          <w:szCs w:val="18"/>
        </w:rPr>
        <w:t>See, e.g.</w:t>
      </w:r>
      <w:r w:rsidRPr="00DC0D9B">
        <w:rPr>
          <w:rFonts w:ascii="Century Schoolbook" w:hAnsi="Century Schoolbook"/>
          <w:sz w:val="18"/>
          <w:szCs w:val="18"/>
        </w:rPr>
        <w:t xml:space="preserve">, </w:t>
      </w:r>
      <w:r w:rsidRPr="00DC0D9B">
        <w:rPr>
          <w:rFonts w:ascii="Century Schoolbook" w:hAnsi="Century Schoolbook"/>
          <w:iCs/>
          <w:sz w:val="18"/>
          <w:szCs w:val="18"/>
        </w:rPr>
        <w:t xml:space="preserve">Pretrial Order No. 18, Plaintiff Fact Sheet and Defendant Fact Sheet &amp; Ex. A (Plaintiff Fact Sheet) at 6, </w:t>
      </w:r>
      <w:r w:rsidRPr="00DC0D9B">
        <w:rPr>
          <w:rFonts w:ascii="Century Schoolbook" w:hAnsi="Century Schoolbook"/>
          <w:i/>
          <w:iCs/>
          <w:sz w:val="18"/>
          <w:szCs w:val="18"/>
        </w:rPr>
        <w:t>In re</w:t>
      </w:r>
      <w:r w:rsidRPr="00DC0D9B">
        <w:rPr>
          <w:rFonts w:ascii="Century Schoolbook" w:hAnsi="Century Schoolbook"/>
          <w:iCs/>
          <w:sz w:val="18"/>
          <w:szCs w:val="18"/>
        </w:rPr>
        <w:t xml:space="preserve"> </w:t>
      </w:r>
      <w:r w:rsidRPr="00DC0D9B">
        <w:rPr>
          <w:rFonts w:ascii="Century Schoolbook" w:hAnsi="Century Schoolbook"/>
          <w:i/>
          <w:iCs/>
          <w:sz w:val="18"/>
          <w:szCs w:val="18"/>
        </w:rPr>
        <w:t>Taxotere (Docetaxel) Prods. Liab. Litig</w:t>
      </w:r>
      <w:r w:rsidRPr="00DC0D9B">
        <w:rPr>
          <w:rFonts w:ascii="Century Schoolbook" w:hAnsi="Century Schoolbook"/>
          <w:iCs/>
          <w:sz w:val="18"/>
          <w:szCs w:val="18"/>
        </w:rPr>
        <w:t>., MDL No. 2740 (E.D. La. Feb. 14, 2017)</w:t>
      </w:r>
      <w:r w:rsidRPr="00DC0D9B">
        <w:rPr>
          <w:rFonts w:ascii="Century Schoolbook" w:hAnsi="Century Schoolbook"/>
          <w:sz w:val="18"/>
          <w:szCs w:val="18"/>
        </w:rPr>
        <w:t xml:space="preserve">; </w:t>
      </w:r>
      <w:r w:rsidRPr="00DC0D9B">
        <w:rPr>
          <w:rFonts w:ascii="Century Schoolbook" w:hAnsi="Century Schoolbook"/>
          <w:iCs/>
          <w:sz w:val="18"/>
          <w:szCs w:val="18"/>
        </w:rPr>
        <w:t xml:space="preserve">MDL Order No. 10 [Dkt. 251], Order Concerning Early Disclosure of Product Identification Information, </w:t>
      </w:r>
      <w:r w:rsidRPr="00DC0D9B">
        <w:rPr>
          <w:rFonts w:ascii="Century Schoolbook" w:hAnsi="Century Schoolbook"/>
          <w:i/>
          <w:iCs/>
          <w:sz w:val="18"/>
          <w:szCs w:val="18"/>
        </w:rPr>
        <w:t>In re Zofran (Ondansetron) Prods. Liab. Litig</w:t>
      </w:r>
      <w:r w:rsidRPr="00DC0D9B">
        <w:rPr>
          <w:rFonts w:ascii="Century Schoolbook" w:hAnsi="Century Schoolbook"/>
          <w:iCs/>
          <w:sz w:val="18"/>
          <w:szCs w:val="18"/>
        </w:rPr>
        <w:t xml:space="preserve">., MDL No. 2657 (D. Mass. May 26, 2016) (“The Court has concluded that production of [product identification] information at a relatively early stage in the litigation may assist in the preservation and collection of additional evidence; is not likely to be unduly burdensome; is not likely to result in unfairness to any party; and may help resolve certain issues in this litigation in a timely manner.”); Pre-Trial Order No. 27, Plaintiff Fact Sheets and Defendant Fact Sheets at ¶ 2, </w:t>
      </w:r>
      <w:r w:rsidRPr="00DC0D9B">
        <w:rPr>
          <w:rFonts w:ascii="Century Schoolbook" w:hAnsi="Century Schoolbook"/>
          <w:i/>
          <w:iCs/>
          <w:sz w:val="18"/>
          <w:szCs w:val="18"/>
        </w:rPr>
        <w:t>In re</w:t>
      </w:r>
      <w:r w:rsidRPr="00DC0D9B">
        <w:rPr>
          <w:rFonts w:ascii="Century Schoolbook" w:hAnsi="Century Schoolbook"/>
          <w:iCs/>
          <w:sz w:val="18"/>
          <w:szCs w:val="18"/>
        </w:rPr>
        <w:t xml:space="preserve"> Xarelto </w:t>
      </w:r>
      <w:r w:rsidRPr="00DC0D9B">
        <w:rPr>
          <w:rFonts w:ascii="Century Schoolbook" w:hAnsi="Century Schoolbook"/>
          <w:i/>
          <w:iCs/>
          <w:sz w:val="18"/>
          <w:szCs w:val="18"/>
        </w:rPr>
        <w:t>(Rivaroxaban) Prods. Liab. Litig</w:t>
      </w:r>
      <w:r w:rsidRPr="00DC0D9B">
        <w:rPr>
          <w:rFonts w:ascii="Century Schoolbook" w:hAnsi="Century Schoolbook"/>
          <w:iCs/>
          <w:sz w:val="18"/>
          <w:szCs w:val="18"/>
        </w:rPr>
        <w:t>., MDL No. 2592 (E.D. La. Apr. 22, 2016) (requiring “records of proof of use and proof of injury within 90 days from the date Plaintiff’s complaint was filed”).</w:t>
      </w:r>
    </w:p>
  </w:footnote>
  <w:footnote w:id="5">
    <w:p w:rsidR="00DC0D9B" w:rsidRPr="00DC0D9B" w:rsidRDefault="00DC0D9B" w:rsidP="00610156">
      <w:pPr>
        <w:pStyle w:val="FootnoteText"/>
        <w:rPr>
          <w:rFonts w:ascii="Century Schoolbook" w:hAnsi="Century Schoolbook"/>
          <w:sz w:val="18"/>
          <w:szCs w:val="18"/>
        </w:rPr>
      </w:pPr>
      <w:r w:rsidRPr="00DC0D9B">
        <w:rPr>
          <w:rStyle w:val="FootnoteReference"/>
          <w:rFonts w:ascii="Century Schoolbook" w:hAnsi="Century Schoolbook"/>
          <w:sz w:val="18"/>
          <w:szCs w:val="18"/>
        </w:rPr>
        <w:footnoteRef/>
      </w:r>
      <w:r w:rsidRPr="00DC0D9B">
        <w:rPr>
          <w:rFonts w:ascii="Century Schoolbook" w:hAnsi="Century Schoolbook"/>
          <w:sz w:val="18"/>
          <w:szCs w:val="18"/>
        </w:rPr>
        <w:t xml:space="preserve"> Byron G. Stier, </w:t>
      </w:r>
      <w:r w:rsidRPr="00DC0D9B">
        <w:rPr>
          <w:rFonts w:ascii="Century Schoolbook" w:hAnsi="Century Schoolbook"/>
          <w:i/>
          <w:sz w:val="18"/>
          <w:szCs w:val="18"/>
        </w:rPr>
        <w:t>Resolving the Class Action Crisis: Mass Tort Litigation as Network</w:t>
      </w:r>
      <w:r w:rsidRPr="00DC0D9B">
        <w:rPr>
          <w:rFonts w:ascii="Century Schoolbook" w:hAnsi="Century Schoolbook"/>
          <w:sz w:val="18"/>
          <w:szCs w:val="18"/>
        </w:rPr>
        <w:t xml:space="preserve">, 2005 </w:t>
      </w:r>
      <w:r w:rsidRPr="00DC0D9B">
        <w:rPr>
          <w:rFonts w:ascii="Century Schoolbook" w:hAnsi="Century Schoolbook"/>
          <w:smallCaps/>
          <w:sz w:val="18"/>
          <w:szCs w:val="18"/>
        </w:rPr>
        <w:t>Utah L. Rev.</w:t>
      </w:r>
      <w:r w:rsidRPr="00DC0D9B">
        <w:rPr>
          <w:rFonts w:ascii="Century Schoolbook" w:hAnsi="Century Schoolbook"/>
          <w:sz w:val="18"/>
          <w:szCs w:val="18"/>
        </w:rPr>
        <w:t xml:space="preserve"> 863, 927–28; </w:t>
      </w:r>
      <w:r w:rsidRPr="00DC0D9B">
        <w:rPr>
          <w:rFonts w:ascii="Century Schoolbook" w:hAnsi="Century Schoolbook"/>
          <w:i/>
          <w:sz w:val="18"/>
          <w:szCs w:val="18"/>
        </w:rPr>
        <w:t xml:space="preserve">see </w:t>
      </w:r>
      <w:r w:rsidRPr="00DC0D9B">
        <w:rPr>
          <w:rFonts w:ascii="Century Schoolbook" w:hAnsi="Century Schoolbook"/>
          <w:sz w:val="18"/>
          <w:szCs w:val="18"/>
        </w:rPr>
        <w:t xml:space="preserve">McGovern, </w:t>
      </w:r>
      <w:r w:rsidRPr="00DC0D9B">
        <w:rPr>
          <w:rFonts w:ascii="Century Schoolbook" w:hAnsi="Century Schoolbook"/>
          <w:i/>
          <w:sz w:val="18"/>
          <w:szCs w:val="18"/>
        </w:rPr>
        <w:t>supra</w:t>
      </w:r>
      <w:r w:rsidRPr="00DC0D9B">
        <w:rPr>
          <w:rFonts w:ascii="Century Schoolbook" w:hAnsi="Century Schoolbook"/>
          <w:sz w:val="18"/>
          <w:szCs w:val="18"/>
        </w:rPr>
        <w:t xml:space="preserve"> note xxii, at 1888–89 (“[In the Fen/Phen litigation, the parties] cooperated extensively with each other in the discovery process in order to reduce their transaction costs. Innovative processes, including the MDL-standardized fact sheets . . . provided models for discovery . . . .”);</w:t>
      </w:r>
      <w:r w:rsidRPr="00DC0D9B">
        <w:rPr>
          <w:rFonts w:ascii="Century Schoolbook" w:hAnsi="Century Schoolbook"/>
          <w:i/>
          <w:sz w:val="18"/>
          <w:szCs w:val="18"/>
        </w:rPr>
        <w:t xml:space="preserve"> see also </w:t>
      </w:r>
      <w:r w:rsidRPr="00DC0D9B">
        <w:rPr>
          <w:rFonts w:ascii="Century Schoolbook" w:hAnsi="Century Schoolbook"/>
          <w:sz w:val="18"/>
          <w:szCs w:val="18"/>
        </w:rPr>
        <w:t xml:space="preserve">Order # 12, Case Management (PFS) at ¶ A.2, </w:t>
      </w:r>
      <w:r w:rsidRPr="00DC0D9B">
        <w:rPr>
          <w:rFonts w:ascii="Century Schoolbook" w:hAnsi="Century Schoolbook"/>
          <w:i/>
          <w:sz w:val="18"/>
          <w:szCs w:val="18"/>
        </w:rPr>
        <w:t>In re Zimmer Nexgen Knee Implant Products Liability Litigation</w:t>
      </w:r>
      <w:r w:rsidRPr="00DC0D9B">
        <w:rPr>
          <w:rFonts w:ascii="Century Schoolbook" w:hAnsi="Century Schoolbook"/>
          <w:sz w:val="18"/>
          <w:szCs w:val="18"/>
        </w:rPr>
        <w:t>, 2016 WL 3281032 (N.D. Ill. June 10, 2016) (</w:t>
      </w:r>
      <w:r w:rsidRPr="00DC0D9B">
        <w:rPr>
          <w:rFonts w:ascii="Century Schoolbook" w:hAnsi="Century Schoolbook"/>
          <w:i/>
          <w:sz w:val="18"/>
          <w:szCs w:val="18"/>
        </w:rPr>
        <w:t xml:space="preserve">Lone </w:t>
      </w:r>
      <w:r w:rsidRPr="00DC0D9B">
        <w:rPr>
          <w:rFonts w:ascii="Century Schoolbook" w:hAnsi="Century Schoolbook"/>
          <w:sz w:val="18"/>
          <w:szCs w:val="18"/>
        </w:rPr>
        <w:t>Pine order imposed after difficulties arose in managing bellwether process); In</w:t>
      </w:r>
      <w:r w:rsidRPr="00DC0D9B">
        <w:rPr>
          <w:rFonts w:ascii="Century Schoolbook" w:hAnsi="Century Schoolbook"/>
          <w:i/>
          <w:sz w:val="18"/>
          <w:szCs w:val="18"/>
        </w:rPr>
        <w:t xml:space="preserve"> re</w:t>
      </w:r>
      <w:r w:rsidRPr="00DC0D9B">
        <w:rPr>
          <w:rFonts w:ascii="Century Schoolbook" w:hAnsi="Century Schoolbook"/>
          <w:sz w:val="18"/>
          <w:szCs w:val="18"/>
        </w:rPr>
        <w:t xml:space="preserve"> Yasmin &amp; Yaz (Drospirenone) Mktg., Sales Practices &amp; Prods. Liab. Litig., MDL No. 2100 (S.D. Ill. Mar. 3, 2010) (“A completed PFS, which requires that each Plaintiff sign the Declaration in Section XIII, shall be considered to be interrogatory answers and responses to requests for production under the Federal Rules of Civil Procedure, and will be governed by the standards applicable to written discovery under the Federal Rules of Civil Procedure.”). </w:t>
      </w:r>
    </w:p>
  </w:footnote>
  <w:footnote w:id="6">
    <w:p w:rsidR="00DC0D9B" w:rsidRPr="00DC0D9B" w:rsidRDefault="00DC0D9B" w:rsidP="00610156">
      <w:pPr>
        <w:pStyle w:val="FootnoteText"/>
        <w:rPr>
          <w:rFonts w:ascii="Century Schoolbook" w:hAnsi="Century Schoolbook"/>
          <w:sz w:val="18"/>
          <w:szCs w:val="18"/>
        </w:rPr>
      </w:pPr>
      <w:r w:rsidRPr="00DC0D9B">
        <w:rPr>
          <w:rStyle w:val="FootnoteReference"/>
          <w:rFonts w:ascii="Century Schoolbook" w:hAnsi="Century Schoolbook"/>
          <w:sz w:val="18"/>
          <w:szCs w:val="18"/>
        </w:rPr>
        <w:footnoteRef/>
      </w:r>
      <w:r w:rsidRPr="00DC0D9B">
        <w:rPr>
          <w:rFonts w:ascii="Century Schoolbook" w:hAnsi="Century Schoolbook"/>
          <w:sz w:val="18"/>
          <w:szCs w:val="18"/>
        </w:rPr>
        <w:t xml:space="preserve"> </w:t>
      </w:r>
      <w:r w:rsidRPr="00DC0D9B">
        <w:rPr>
          <w:rFonts w:ascii="Century Schoolbook" w:hAnsi="Century Schoolbook"/>
          <w:i/>
          <w:color w:val="000000"/>
          <w:sz w:val="18"/>
          <w:szCs w:val="18"/>
        </w:rPr>
        <w:t>See generally, e.g.</w:t>
      </w:r>
      <w:r w:rsidRPr="00DC0D9B">
        <w:rPr>
          <w:rFonts w:ascii="Century Schoolbook" w:hAnsi="Century Schoolbook"/>
          <w:color w:val="000000"/>
          <w:sz w:val="18"/>
          <w:szCs w:val="18"/>
        </w:rPr>
        <w:t xml:space="preserve">, Case Management Order 12 (PFS), </w:t>
      </w:r>
      <w:r w:rsidRPr="00DC0D9B">
        <w:rPr>
          <w:rFonts w:ascii="Century Schoolbook" w:hAnsi="Century Schoolbook"/>
          <w:i/>
          <w:color w:val="000000"/>
          <w:sz w:val="18"/>
          <w:szCs w:val="18"/>
        </w:rPr>
        <w:t xml:space="preserve">supra </w:t>
      </w:r>
      <w:r w:rsidRPr="00DC0D9B">
        <w:rPr>
          <w:rFonts w:ascii="Century Schoolbook" w:hAnsi="Century Schoolbook"/>
          <w:color w:val="000000"/>
          <w:sz w:val="18"/>
          <w:szCs w:val="18"/>
        </w:rPr>
        <w:t xml:space="preserve">note 6; Case Management Order 18 (DFS), </w:t>
      </w:r>
      <w:r w:rsidRPr="00DC0D9B">
        <w:rPr>
          <w:rFonts w:ascii="Century Schoolbook" w:hAnsi="Century Schoolbook"/>
          <w:i/>
          <w:color w:val="000000"/>
          <w:sz w:val="18"/>
          <w:szCs w:val="18"/>
        </w:rPr>
        <w:t>In re Yasmin and Yaz (Drospirenone) Marketing, Sales Practices &amp; Prods. Liab</w:t>
      </w:r>
      <w:r w:rsidRPr="00DC0D9B">
        <w:rPr>
          <w:rFonts w:ascii="Century Schoolbook" w:hAnsi="Century Schoolbook"/>
          <w:color w:val="000000"/>
          <w:sz w:val="18"/>
          <w:szCs w:val="18"/>
        </w:rPr>
        <w:t>. Lit., MDL 2100</w:t>
      </w:r>
      <w:r w:rsidRPr="00DC0D9B">
        <w:rPr>
          <w:rFonts w:ascii="Century Schoolbook" w:hAnsi="Century Schoolbook"/>
          <w:sz w:val="18"/>
          <w:szCs w:val="18"/>
        </w:rPr>
        <w:t xml:space="preserve"> (S.D. Ill. Mar. 3, 2010). </w:t>
      </w:r>
    </w:p>
  </w:footnote>
  <w:footnote w:id="7">
    <w:p w:rsidR="00DC0D9B" w:rsidRPr="00DC0D9B" w:rsidRDefault="00DC0D9B" w:rsidP="00610156">
      <w:pPr>
        <w:rPr>
          <w:rFonts w:ascii="Century Schoolbook" w:hAnsi="Century Schoolbook"/>
          <w:color w:val="000000"/>
          <w:sz w:val="18"/>
          <w:szCs w:val="18"/>
        </w:rPr>
      </w:pPr>
      <w:r w:rsidRPr="00DC0D9B">
        <w:rPr>
          <w:rStyle w:val="FootnoteReference"/>
          <w:rFonts w:ascii="Century Schoolbook" w:hAnsi="Century Schoolbook"/>
          <w:sz w:val="18"/>
          <w:szCs w:val="18"/>
        </w:rPr>
        <w:footnoteRef/>
      </w:r>
      <w:r w:rsidRPr="00DC0D9B">
        <w:rPr>
          <w:rFonts w:ascii="Century Schoolbook" w:hAnsi="Century Schoolbook"/>
          <w:sz w:val="18"/>
          <w:szCs w:val="18"/>
        </w:rPr>
        <w:t xml:space="preserve"> </w:t>
      </w:r>
      <w:r w:rsidRPr="00DC0D9B">
        <w:rPr>
          <w:rFonts w:ascii="Century Schoolbook" w:hAnsi="Century Schoolbook"/>
          <w:i/>
          <w:sz w:val="18"/>
          <w:szCs w:val="18"/>
        </w:rPr>
        <w:t xml:space="preserve">See </w:t>
      </w:r>
      <w:r w:rsidRPr="00DC0D9B">
        <w:rPr>
          <w:rFonts w:ascii="Century Schoolbook" w:hAnsi="Century Schoolbook"/>
          <w:i/>
          <w:color w:val="000000"/>
          <w:sz w:val="18"/>
          <w:szCs w:val="18"/>
        </w:rPr>
        <w:t>In re</w:t>
      </w:r>
      <w:r w:rsidRPr="00DC0D9B">
        <w:rPr>
          <w:rFonts w:ascii="Century Schoolbook" w:hAnsi="Century Schoolbook"/>
          <w:color w:val="000000"/>
          <w:sz w:val="18"/>
          <w:szCs w:val="18"/>
        </w:rPr>
        <w:t xml:space="preserve"> </w:t>
      </w:r>
      <w:r w:rsidRPr="00DC0D9B">
        <w:rPr>
          <w:rFonts w:ascii="Century Schoolbook" w:hAnsi="Century Schoolbook"/>
          <w:i/>
          <w:color w:val="000000"/>
          <w:sz w:val="18"/>
          <w:szCs w:val="18"/>
        </w:rPr>
        <w:t>Ethicon, Inc. Pelvic Repair System Prods. Liab. Litig</w:t>
      </w:r>
      <w:r w:rsidRPr="00DC0D9B">
        <w:rPr>
          <w:rFonts w:ascii="Century Schoolbook" w:hAnsi="Century Schoolbook"/>
          <w:color w:val="000000"/>
          <w:sz w:val="18"/>
          <w:szCs w:val="18"/>
        </w:rPr>
        <w:t xml:space="preserve">., No. 2:14-cv-20042, 2015 WL 5786776, at *2 (S.D. W. Va. Sept. 30, 2015); </w:t>
      </w:r>
      <w:r w:rsidRPr="00DC0D9B">
        <w:rPr>
          <w:rFonts w:ascii="Century Schoolbook" w:hAnsi="Century Schoolbook"/>
          <w:i/>
          <w:color w:val="000000"/>
          <w:sz w:val="18"/>
          <w:szCs w:val="18"/>
        </w:rPr>
        <w:t>In re</w:t>
      </w:r>
      <w:r w:rsidRPr="00DC0D9B">
        <w:rPr>
          <w:rFonts w:ascii="Century Schoolbook" w:hAnsi="Century Schoolbook"/>
          <w:color w:val="000000"/>
          <w:sz w:val="18"/>
          <w:szCs w:val="18"/>
        </w:rPr>
        <w:t xml:space="preserve"> </w:t>
      </w:r>
      <w:r w:rsidRPr="00DC0D9B">
        <w:rPr>
          <w:rFonts w:ascii="Century Schoolbook" w:hAnsi="Century Schoolbook"/>
          <w:i/>
          <w:color w:val="000000"/>
          <w:sz w:val="18"/>
          <w:szCs w:val="18"/>
        </w:rPr>
        <w:t>Cook Medical Inc. Pelvic Repair Sys. Prods. Liab. Litig</w:t>
      </w:r>
      <w:r w:rsidRPr="00DC0D9B">
        <w:rPr>
          <w:rFonts w:ascii="Century Schoolbook" w:hAnsi="Century Schoolbook"/>
          <w:color w:val="000000"/>
          <w:sz w:val="18"/>
          <w:szCs w:val="18"/>
        </w:rPr>
        <w:t xml:space="preserve">., No. 2:14-cv-30296, MDL No. 2440, 2015 WL 4458971, at *2 (S.D. W. Va. July 17, 2015); Order No. 7, </w:t>
      </w:r>
      <w:r w:rsidRPr="00DC0D9B">
        <w:rPr>
          <w:rFonts w:ascii="Century Schoolbook" w:hAnsi="Century Schoolbook"/>
          <w:i/>
          <w:color w:val="000000"/>
          <w:sz w:val="18"/>
          <w:szCs w:val="18"/>
        </w:rPr>
        <w:t>In re</w:t>
      </w:r>
      <w:r w:rsidRPr="00DC0D9B">
        <w:rPr>
          <w:rFonts w:ascii="Century Schoolbook" w:hAnsi="Century Schoolbook"/>
          <w:color w:val="000000"/>
          <w:sz w:val="18"/>
          <w:szCs w:val="18"/>
        </w:rPr>
        <w:t xml:space="preserve"> </w:t>
      </w:r>
      <w:r w:rsidRPr="00DC0D9B">
        <w:rPr>
          <w:rFonts w:ascii="Century Schoolbook" w:hAnsi="Century Schoolbook"/>
          <w:i/>
          <w:color w:val="000000"/>
          <w:sz w:val="18"/>
          <w:szCs w:val="18"/>
        </w:rPr>
        <w:t>Mirena IUD Prods. Liab. Litig</w:t>
      </w:r>
      <w:r w:rsidRPr="00DC0D9B">
        <w:rPr>
          <w:rFonts w:ascii="Century Schoolbook" w:hAnsi="Century Schoolbook"/>
          <w:color w:val="000000"/>
          <w:sz w:val="18"/>
          <w:szCs w:val="18"/>
        </w:rPr>
        <w:t xml:space="preserve">., No. 13-MD-2434 (CS) (S.D.N.Y. Aug. 15, 2013); Order No. 7A, </w:t>
      </w:r>
      <w:r w:rsidRPr="00DC0D9B">
        <w:rPr>
          <w:rFonts w:ascii="Century Schoolbook" w:hAnsi="Century Schoolbook"/>
          <w:i/>
          <w:color w:val="000000"/>
          <w:sz w:val="18"/>
          <w:szCs w:val="18"/>
        </w:rPr>
        <w:t>In re</w:t>
      </w:r>
      <w:r w:rsidRPr="00DC0D9B">
        <w:rPr>
          <w:rFonts w:ascii="Century Schoolbook" w:hAnsi="Century Schoolbook"/>
          <w:color w:val="000000"/>
          <w:sz w:val="18"/>
          <w:szCs w:val="18"/>
        </w:rPr>
        <w:t xml:space="preserve"> </w:t>
      </w:r>
      <w:r w:rsidRPr="00DC0D9B">
        <w:rPr>
          <w:rFonts w:ascii="Century Schoolbook" w:hAnsi="Century Schoolbook"/>
          <w:i/>
          <w:color w:val="000000"/>
          <w:sz w:val="18"/>
          <w:szCs w:val="18"/>
        </w:rPr>
        <w:t>Mirena IUD Prods. Liab. Litig</w:t>
      </w:r>
      <w:r w:rsidRPr="00DC0D9B">
        <w:rPr>
          <w:rFonts w:ascii="Century Schoolbook" w:hAnsi="Century Schoolbook"/>
          <w:color w:val="000000"/>
          <w:sz w:val="18"/>
          <w:szCs w:val="18"/>
        </w:rPr>
        <w:t>., No. 13-MD-2434 (CS) (S.D.N.Y. Apr. 24, 2014).</w:t>
      </w:r>
    </w:p>
    <w:p w:rsidR="00DC0D9B" w:rsidRPr="00DC0D9B" w:rsidRDefault="00DC0D9B" w:rsidP="00610156">
      <w:pPr>
        <w:pStyle w:val="FootnoteText"/>
        <w:rPr>
          <w:rFonts w:ascii="Century Schoolbook" w:hAnsi="Century Schoolbook" w:cstheme="minorBidi"/>
          <w:sz w:val="18"/>
          <w:szCs w:val="18"/>
        </w:rPr>
      </w:pPr>
    </w:p>
  </w:footnote>
  <w:footnote w:id="8">
    <w:p w:rsidR="00DC0D9B" w:rsidRPr="00DC0D9B" w:rsidRDefault="00DC0D9B" w:rsidP="00610156">
      <w:pPr>
        <w:pStyle w:val="FootnoteText"/>
        <w:rPr>
          <w:rFonts w:ascii="Century Schoolbook" w:hAnsi="Century Schoolbook"/>
          <w:sz w:val="18"/>
          <w:szCs w:val="18"/>
        </w:rPr>
      </w:pPr>
      <w:r w:rsidRPr="00DC0D9B">
        <w:rPr>
          <w:rStyle w:val="FootnoteReference"/>
          <w:rFonts w:ascii="Century Schoolbook" w:hAnsi="Century Schoolbook"/>
          <w:sz w:val="18"/>
          <w:szCs w:val="18"/>
        </w:rPr>
        <w:footnoteRef/>
      </w:r>
      <w:r w:rsidRPr="00DC0D9B">
        <w:rPr>
          <w:rFonts w:ascii="Century Schoolbook" w:hAnsi="Century Schoolbook"/>
          <w:sz w:val="18"/>
          <w:szCs w:val="18"/>
        </w:rPr>
        <w:t xml:space="preserve"> </w:t>
      </w:r>
      <w:r w:rsidRPr="00DC0D9B">
        <w:rPr>
          <w:rFonts w:ascii="Century Schoolbook" w:hAnsi="Century Schoolbook"/>
          <w:i/>
          <w:sz w:val="18"/>
          <w:szCs w:val="18"/>
        </w:rPr>
        <w:t>See</w:t>
      </w:r>
      <w:r w:rsidRPr="00DC0D9B">
        <w:rPr>
          <w:rFonts w:ascii="Century Schoolbook" w:hAnsi="Century Schoolbook"/>
          <w:sz w:val="18"/>
          <w:szCs w:val="18"/>
        </w:rPr>
        <w:t xml:space="preserve"> </w:t>
      </w:r>
      <w:r w:rsidRPr="00DC0D9B">
        <w:rPr>
          <w:rFonts w:ascii="Century Schoolbook" w:hAnsi="Century Schoolbook"/>
          <w:i/>
          <w:sz w:val="18"/>
          <w:szCs w:val="18"/>
        </w:rPr>
        <w:t>e.g.</w:t>
      </w:r>
      <w:r w:rsidRPr="00DC0D9B">
        <w:rPr>
          <w:rFonts w:ascii="Century Schoolbook" w:hAnsi="Century Schoolbook"/>
          <w:sz w:val="18"/>
          <w:szCs w:val="18"/>
        </w:rPr>
        <w:t xml:space="preserve">, </w:t>
      </w:r>
      <w:r w:rsidRPr="00DC0D9B">
        <w:rPr>
          <w:rFonts w:ascii="Century Schoolbook" w:hAnsi="Century Schoolbook"/>
          <w:i/>
          <w:sz w:val="18"/>
          <w:szCs w:val="18"/>
        </w:rPr>
        <w:t xml:space="preserve">In re Orthopedic Bone Screw </w:t>
      </w:r>
      <w:r w:rsidRPr="00DC0D9B">
        <w:rPr>
          <w:rFonts w:ascii="Century Schoolbook" w:hAnsi="Century Schoolbook"/>
          <w:i/>
          <w:color w:val="000000"/>
          <w:sz w:val="18"/>
          <w:szCs w:val="18"/>
        </w:rPr>
        <w:t>Prods. Liab. Litig</w:t>
      </w:r>
      <w:r w:rsidRPr="00DC0D9B">
        <w:rPr>
          <w:rFonts w:ascii="Century Schoolbook" w:hAnsi="Century Schoolbook"/>
          <w:color w:val="000000"/>
          <w:sz w:val="18"/>
          <w:szCs w:val="18"/>
        </w:rPr>
        <w:t>.</w:t>
      </w:r>
      <w:r w:rsidRPr="00DC0D9B">
        <w:rPr>
          <w:rFonts w:ascii="Century Schoolbook" w:hAnsi="Century Schoolbook"/>
          <w:sz w:val="18"/>
          <w:szCs w:val="18"/>
        </w:rPr>
        <w:t>, No. MDL 1014, 1997 WL 704719 (E.D. Pa. July 24, 1997).</w:t>
      </w:r>
    </w:p>
  </w:footnote>
  <w:footnote w:id="9">
    <w:p w:rsidR="00DC0D9B" w:rsidRPr="00DC0D9B" w:rsidRDefault="00DC0D9B" w:rsidP="00610156">
      <w:pPr>
        <w:ind w:right="838"/>
        <w:rPr>
          <w:sz w:val="18"/>
          <w:szCs w:val="18"/>
        </w:rPr>
      </w:pPr>
      <w:r w:rsidRPr="00DC0D9B">
        <w:rPr>
          <w:rStyle w:val="FootnoteReference"/>
          <w:rFonts w:ascii="Century Schoolbook" w:hAnsi="Century Schoolbook"/>
          <w:sz w:val="18"/>
          <w:szCs w:val="18"/>
        </w:rPr>
        <w:footnoteRef/>
      </w:r>
      <w:r w:rsidRPr="00DC0D9B">
        <w:rPr>
          <w:rFonts w:ascii="Century Schoolbook" w:hAnsi="Century Schoolbook"/>
          <w:sz w:val="18"/>
          <w:szCs w:val="18"/>
        </w:rPr>
        <w:t xml:space="preserve"> </w:t>
      </w:r>
      <w:r w:rsidRPr="00DC0D9B">
        <w:rPr>
          <w:rFonts w:ascii="Century Schoolbook" w:hAnsi="Century Schoolbook"/>
          <w:color w:val="000000" w:themeColor="text1"/>
          <w:sz w:val="18"/>
          <w:szCs w:val="18"/>
        </w:rPr>
        <w:t xml:space="preserve">MCL § 22.315; </w:t>
      </w:r>
      <w:r w:rsidRPr="00DC0D9B">
        <w:rPr>
          <w:rFonts w:ascii="Century Schoolbook" w:hAnsi="Century Schoolbook"/>
          <w:i/>
          <w:color w:val="000000" w:themeColor="text1"/>
          <w:sz w:val="18"/>
          <w:szCs w:val="18"/>
        </w:rPr>
        <w:t>see also In re</w:t>
      </w:r>
      <w:r w:rsidRPr="00DC0D9B">
        <w:rPr>
          <w:rFonts w:ascii="Century Schoolbook" w:hAnsi="Century Schoolbook"/>
          <w:color w:val="000000" w:themeColor="text1"/>
          <w:sz w:val="18"/>
          <w:szCs w:val="18"/>
        </w:rPr>
        <w:t xml:space="preserve"> </w:t>
      </w:r>
      <w:r w:rsidRPr="00DC0D9B">
        <w:rPr>
          <w:rFonts w:ascii="Century Schoolbook" w:hAnsi="Century Schoolbook"/>
          <w:i/>
          <w:color w:val="000000" w:themeColor="text1"/>
          <w:sz w:val="18"/>
          <w:szCs w:val="18"/>
        </w:rPr>
        <w:t>Hydroxycut Mktg. &amp; Sales Practices Litig</w:t>
      </w:r>
      <w:r w:rsidRPr="00DC0D9B">
        <w:rPr>
          <w:rFonts w:ascii="Century Schoolbook" w:hAnsi="Century Schoolbook"/>
          <w:color w:val="000000" w:themeColor="text1"/>
          <w:sz w:val="18"/>
          <w:szCs w:val="18"/>
        </w:rPr>
        <w:t>., No. 09-md-2087 BTM(KSC), 2012 U.S. Dist. LEXIS 118980, at *56 (S.D. Cal. Aug. 21, 2012) (“The bellwether cases should be representative cases that will best produce information regarding value ascertainment for settlement purposes or to answer causation or liability issues common to the universe of plaintiffs.”).</w:t>
      </w:r>
    </w:p>
  </w:footnote>
  <w:footnote w:id="10">
    <w:p w:rsidR="00DC0D9B" w:rsidRPr="00DC0D9B" w:rsidRDefault="00DC0D9B" w:rsidP="00610156">
      <w:pPr>
        <w:rPr>
          <w:sz w:val="18"/>
          <w:szCs w:val="18"/>
        </w:rPr>
      </w:pPr>
      <w:r w:rsidRPr="00DC0D9B">
        <w:rPr>
          <w:rStyle w:val="FootnoteReference"/>
          <w:rFonts w:ascii="Century Schoolbook" w:hAnsi="Century Schoolbook"/>
          <w:sz w:val="18"/>
          <w:szCs w:val="18"/>
        </w:rPr>
        <w:footnoteRef/>
      </w:r>
      <w:r w:rsidRPr="00DC0D9B">
        <w:rPr>
          <w:rFonts w:ascii="Century Schoolbook" w:hAnsi="Century Schoolbook"/>
          <w:sz w:val="18"/>
          <w:szCs w:val="18"/>
        </w:rPr>
        <w:t xml:space="preserve"> </w:t>
      </w:r>
      <w:r w:rsidRPr="00DC0D9B">
        <w:rPr>
          <w:rFonts w:ascii="Century Schoolbook" w:hAnsi="Century Schoolbook"/>
          <w:color w:val="000000" w:themeColor="text1"/>
          <w:sz w:val="18"/>
          <w:szCs w:val="18"/>
        </w:rPr>
        <w:t>Only when a “representative . . . range of cases” is selected may “individual trials . . . produce reliable information about other mass tort cases.” MCL</w:t>
      </w:r>
      <w:r w:rsidRPr="00DC0D9B">
        <w:rPr>
          <w:rFonts w:ascii="Century Schoolbook" w:hAnsi="Century Schoolbook"/>
          <w:i/>
          <w:color w:val="000000" w:themeColor="text1"/>
          <w:sz w:val="18"/>
          <w:szCs w:val="18"/>
        </w:rPr>
        <w:t xml:space="preserve"> </w:t>
      </w:r>
      <w:r w:rsidRPr="00DC0D9B">
        <w:rPr>
          <w:rFonts w:ascii="Century Schoolbook" w:hAnsi="Century Schoolbook"/>
          <w:color w:val="000000" w:themeColor="text1"/>
          <w:sz w:val="18"/>
          <w:szCs w:val="18"/>
        </w:rPr>
        <w:t xml:space="preserve">§ 22.315; </w:t>
      </w:r>
      <w:r w:rsidRPr="00DC0D9B">
        <w:rPr>
          <w:rFonts w:ascii="Century Schoolbook" w:hAnsi="Century Schoolbook"/>
          <w:i/>
          <w:color w:val="000000" w:themeColor="text1"/>
          <w:sz w:val="18"/>
          <w:szCs w:val="18"/>
        </w:rPr>
        <w:t>see also</w:t>
      </w:r>
      <w:r w:rsidRPr="00DC0D9B">
        <w:rPr>
          <w:rFonts w:ascii="Century Schoolbook" w:hAnsi="Century Schoolbook"/>
          <w:color w:val="000000" w:themeColor="text1"/>
          <w:sz w:val="18"/>
          <w:szCs w:val="18"/>
        </w:rPr>
        <w:t xml:space="preserve"> </w:t>
      </w:r>
      <w:r w:rsidRPr="00DC0D9B">
        <w:rPr>
          <w:rFonts w:ascii="Century Schoolbook" w:hAnsi="Century Schoolbook"/>
          <w:i/>
          <w:color w:val="000000" w:themeColor="text1"/>
          <w:sz w:val="18"/>
          <w:szCs w:val="18"/>
        </w:rPr>
        <w:t>In re</w:t>
      </w:r>
      <w:r w:rsidRPr="00DC0D9B">
        <w:rPr>
          <w:rFonts w:ascii="Century Schoolbook" w:hAnsi="Century Schoolbook"/>
          <w:color w:val="000000" w:themeColor="text1"/>
          <w:sz w:val="18"/>
          <w:szCs w:val="18"/>
        </w:rPr>
        <w:t xml:space="preserve"> </w:t>
      </w:r>
      <w:r w:rsidRPr="00DC0D9B">
        <w:rPr>
          <w:rFonts w:ascii="Century Schoolbook" w:hAnsi="Century Schoolbook"/>
          <w:i/>
          <w:color w:val="000000" w:themeColor="text1"/>
          <w:sz w:val="18"/>
          <w:szCs w:val="18"/>
        </w:rPr>
        <w:t>Yasmin &amp; Yaz (Drospirenone) Mktg., Sales Practices &amp; Prods. Liab. Litig</w:t>
      </w:r>
      <w:r w:rsidRPr="00DC0D9B">
        <w:rPr>
          <w:rFonts w:ascii="Century Schoolbook" w:hAnsi="Century Schoolbook"/>
          <w:color w:val="000000" w:themeColor="text1"/>
          <w:sz w:val="18"/>
          <w:szCs w:val="18"/>
        </w:rPr>
        <w:t xml:space="preserve">., MDL No. 2100, 2010 U.S. Dist. LEXIS 108107, at *4, *6–7 (S.D. Ill. Oct. 8, 2010) (it is “critical to a successful bellwether plan that an honest representative sampling of cases be achieved” because “[l]ittle credibility will be attached to this process, and it will be a waste of everyone’s time and resources, if cases are selected which do not accurately reflect the run-of-the-mill case”); Eldon E. Fallon et al., </w:t>
      </w:r>
      <w:r w:rsidRPr="00DC0D9B">
        <w:rPr>
          <w:rFonts w:ascii="Century Schoolbook" w:hAnsi="Century Schoolbook"/>
          <w:i/>
          <w:color w:val="000000" w:themeColor="text1"/>
          <w:sz w:val="18"/>
          <w:szCs w:val="18"/>
        </w:rPr>
        <w:t>Bellwether Trials In Multidistrict Litigation</w:t>
      </w:r>
      <w:r w:rsidRPr="00DC0D9B">
        <w:rPr>
          <w:rFonts w:ascii="Century Schoolbook" w:hAnsi="Century Schoolbook"/>
          <w:color w:val="000000" w:themeColor="text1"/>
          <w:sz w:val="18"/>
          <w:szCs w:val="18"/>
        </w:rPr>
        <w:t xml:space="preserve">, 82 </w:t>
      </w:r>
      <w:r w:rsidRPr="00DC0D9B">
        <w:rPr>
          <w:rFonts w:ascii="Century Schoolbook" w:hAnsi="Century Schoolbook"/>
          <w:smallCaps/>
          <w:color w:val="000000" w:themeColor="text1"/>
          <w:sz w:val="18"/>
          <w:szCs w:val="18"/>
        </w:rPr>
        <w:t>Tul. L. Rev.</w:t>
      </w:r>
      <w:r w:rsidRPr="00DC0D9B">
        <w:rPr>
          <w:rFonts w:ascii="Century Schoolbook" w:hAnsi="Century Schoolbook"/>
          <w:color w:val="000000" w:themeColor="text1"/>
          <w:sz w:val="18"/>
          <w:szCs w:val="18"/>
        </w:rPr>
        <w:t xml:space="preserve"> 2323, 2343 (2008) (“the trial selection process should . . . illustrate the likelihood of success and measure of damages” of all cases in the litigation and “[a]ny trial-selection process that strays from this path will likely resolve only a few independent cases and have a limited global impact”).</w:t>
      </w:r>
    </w:p>
  </w:footnote>
  <w:footnote w:id="11">
    <w:p w:rsidR="00DC0D9B" w:rsidRPr="00DC0D9B" w:rsidRDefault="00DC0D9B">
      <w:pPr>
        <w:pStyle w:val="FootnoteText"/>
        <w:rPr>
          <w:rFonts w:ascii="Century Schoolbook" w:hAnsi="Century Schoolbook"/>
          <w:sz w:val="18"/>
          <w:szCs w:val="18"/>
        </w:rPr>
      </w:pPr>
      <w:r w:rsidRPr="00DC0D9B">
        <w:rPr>
          <w:rStyle w:val="FootnoteReference"/>
          <w:rFonts w:ascii="Century Schoolbook" w:hAnsi="Century Schoolbook"/>
          <w:sz w:val="18"/>
          <w:szCs w:val="18"/>
        </w:rPr>
        <w:footnoteRef/>
      </w:r>
      <w:r w:rsidRPr="00DC0D9B">
        <w:rPr>
          <w:rFonts w:ascii="Century Schoolbook" w:hAnsi="Century Schoolbook"/>
          <w:sz w:val="18"/>
          <w:szCs w:val="18"/>
        </w:rPr>
        <w:t xml:space="preserve"> </w:t>
      </w:r>
      <w:r w:rsidRPr="00DC0D9B">
        <w:rPr>
          <w:rFonts w:ascii="Century Schoolbook" w:hAnsi="Century Schoolbook"/>
          <w:i/>
          <w:color w:val="000000" w:themeColor="text1"/>
          <w:sz w:val="18"/>
          <w:szCs w:val="18"/>
        </w:rPr>
        <w:t>Lexecon Inc. v. Milberg Weiss Bershad Hynes &amp; Lerach</w:t>
      </w:r>
      <w:r w:rsidRPr="00DC0D9B">
        <w:rPr>
          <w:rFonts w:ascii="Century Schoolbook" w:hAnsi="Century Schoolbook"/>
          <w:color w:val="000000" w:themeColor="text1"/>
          <w:sz w:val="18"/>
          <w:szCs w:val="18"/>
        </w:rPr>
        <w:t>,</w:t>
      </w:r>
      <w:r w:rsidRPr="00DC0D9B">
        <w:rPr>
          <w:rFonts w:ascii="Century Schoolbook" w:hAnsi="Century Schoolbook"/>
          <w:sz w:val="18"/>
          <w:szCs w:val="18"/>
        </w:rPr>
        <w:t xml:space="preserve"> 523 U.S. 26 (1998).</w:t>
      </w:r>
    </w:p>
  </w:footnote>
  <w:footnote w:id="12">
    <w:p w:rsidR="00DC0D9B" w:rsidRPr="00C239C8" w:rsidRDefault="00DC0D9B" w:rsidP="00610156">
      <w:pPr>
        <w:pStyle w:val="FootnoteText"/>
        <w:rPr>
          <w:rFonts w:ascii="Century Schoolbook" w:hAnsi="Century Schoolbook"/>
        </w:rPr>
      </w:pPr>
      <w:r w:rsidRPr="00DC0D9B">
        <w:rPr>
          <w:rStyle w:val="FootnoteReference"/>
          <w:rFonts w:ascii="Century Schoolbook" w:hAnsi="Century Schoolbook"/>
          <w:sz w:val="18"/>
          <w:szCs w:val="18"/>
        </w:rPr>
        <w:footnoteRef/>
      </w:r>
      <w:r w:rsidRPr="00DC0D9B">
        <w:rPr>
          <w:rFonts w:ascii="Century Schoolbook" w:hAnsi="Century Schoolbook"/>
          <w:sz w:val="18"/>
          <w:szCs w:val="18"/>
        </w:rPr>
        <w:t xml:space="preserve"> </w:t>
      </w:r>
      <w:r w:rsidRPr="00DC0D9B">
        <w:rPr>
          <w:rFonts w:ascii="Century Schoolbook" w:hAnsi="Century Schoolbook"/>
          <w:i/>
          <w:color w:val="000000" w:themeColor="text1"/>
          <w:sz w:val="18"/>
          <w:szCs w:val="18"/>
        </w:rPr>
        <w:t>See In re</w:t>
      </w:r>
      <w:r w:rsidRPr="00DC0D9B">
        <w:rPr>
          <w:rFonts w:ascii="Century Schoolbook" w:hAnsi="Century Schoolbook"/>
          <w:color w:val="000000" w:themeColor="text1"/>
          <w:sz w:val="18"/>
          <w:szCs w:val="18"/>
        </w:rPr>
        <w:t xml:space="preserve"> </w:t>
      </w:r>
      <w:r w:rsidRPr="00DC0D9B">
        <w:rPr>
          <w:rFonts w:ascii="Century Schoolbook" w:hAnsi="Century Schoolbook"/>
          <w:i/>
          <w:color w:val="000000" w:themeColor="text1"/>
          <w:sz w:val="18"/>
          <w:szCs w:val="18"/>
        </w:rPr>
        <w:t>Motor Fuel Temperature Sales Practices Litig</w:t>
      </w:r>
      <w:r w:rsidRPr="00DC0D9B">
        <w:rPr>
          <w:rFonts w:ascii="Century Schoolbook" w:hAnsi="Century Schoolbook"/>
          <w:color w:val="000000" w:themeColor="text1"/>
          <w:sz w:val="18"/>
          <w:szCs w:val="18"/>
        </w:rPr>
        <w:t>., 711 F.3d 1050, 1053 (9th Cir. 2013) (“Only severe or unexpected over-burdening, as happens when a judge dies or retires, when the district is experiencing a judicial emergency or when all judges are recused because of a conflict, will warrant bringing in a visiting judge.”).</w:t>
      </w:r>
    </w:p>
  </w:footnote>
  <w:footnote w:id="13">
    <w:p w:rsidR="00DC0D9B" w:rsidRPr="00DC0D9B" w:rsidRDefault="00DC0D9B" w:rsidP="00610156">
      <w:pPr>
        <w:spacing w:before="49"/>
        <w:ind w:right="115"/>
        <w:rPr>
          <w:sz w:val="18"/>
          <w:szCs w:val="18"/>
        </w:rPr>
      </w:pPr>
      <w:r w:rsidRPr="00DC0D9B">
        <w:rPr>
          <w:rStyle w:val="FootnoteReference"/>
          <w:rFonts w:ascii="Century Schoolbook" w:hAnsi="Century Schoolbook"/>
          <w:sz w:val="18"/>
          <w:szCs w:val="18"/>
        </w:rPr>
        <w:footnoteRef/>
      </w:r>
      <w:r w:rsidRPr="00DC0D9B">
        <w:rPr>
          <w:rFonts w:ascii="Century Schoolbook" w:hAnsi="Century Schoolbook"/>
          <w:sz w:val="18"/>
          <w:szCs w:val="18"/>
        </w:rPr>
        <w:t xml:space="preserve"> </w:t>
      </w:r>
      <w:r w:rsidRPr="00DC0D9B">
        <w:rPr>
          <w:rFonts w:ascii="Century Schoolbook" w:hAnsi="Century Schoolbook"/>
          <w:color w:val="000000" w:themeColor="text1"/>
          <w:sz w:val="18"/>
          <w:szCs w:val="18"/>
        </w:rPr>
        <w:t>Settlements are discussed in more detail in Chapter 5. As discussed there, most settlements are global grid settlements. However, defense counsel have increasingly urged settlement on other bases, whether by firm-inventory settlements or by claim settlements (effectively global settlements of a particular type of claim).</w:t>
      </w:r>
    </w:p>
  </w:footnote>
  <w:footnote w:id="14">
    <w:p w:rsidR="00DC0D9B" w:rsidRPr="00DC0D9B" w:rsidRDefault="00DC0D9B" w:rsidP="00610156">
      <w:pPr>
        <w:pStyle w:val="FootnoteText"/>
        <w:rPr>
          <w:rFonts w:ascii="Century Schoolbook" w:hAnsi="Century Schoolbook"/>
          <w:sz w:val="18"/>
          <w:szCs w:val="18"/>
        </w:rPr>
      </w:pPr>
      <w:r w:rsidRPr="00DC0D9B">
        <w:rPr>
          <w:rStyle w:val="FootnoteReference"/>
          <w:rFonts w:ascii="Century Schoolbook" w:hAnsi="Century Schoolbook"/>
          <w:sz w:val="18"/>
          <w:szCs w:val="18"/>
        </w:rPr>
        <w:footnoteRef/>
      </w:r>
      <w:r w:rsidRPr="00DC0D9B">
        <w:rPr>
          <w:rFonts w:ascii="Century Schoolbook" w:hAnsi="Century Schoolbook"/>
          <w:sz w:val="18"/>
          <w:szCs w:val="18"/>
        </w:rPr>
        <w:t xml:space="preserve"> 523 U.S. 26 (1998).</w:t>
      </w:r>
    </w:p>
  </w:footnote>
  <w:footnote w:id="15">
    <w:p w:rsidR="00DC0D9B" w:rsidRPr="00DC0D9B" w:rsidRDefault="00DC0D9B" w:rsidP="00610156">
      <w:pPr>
        <w:pStyle w:val="FootnoteText"/>
        <w:rPr>
          <w:rFonts w:ascii="Century Schoolbook" w:hAnsi="Century Schoolbook"/>
          <w:sz w:val="18"/>
          <w:szCs w:val="18"/>
        </w:rPr>
      </w:pPr>
      <w:r w:rsidRPr="00DC0D9B">
        <w:rPr>
          <w:rStyle w:val="FootnoteReference"/>
          <w:rFonts w:ascii="Century Schoolbook" w:hAnsi="Century Schoolbook"/>
          <w:sz w:val="18"/>
          <w:szCs w:val="18"/>
        </w:rPr>
        <w:footnoteRef/>
      </w:r>
      <w:r w:rsidRPr="00DC0D9B">
        <w:rPr>
          <w:rFonts w:ascii="Century Schoolbook" w:hAnsi="Century Schoolbook"/>
          <w:sz w:val="18"/>
          <w:szCs w:val="18"/>
        </w:rPr>
        <w:t xml:space="preserve"> MCL</w:t>
      </w:r>
      <w:r w:rsidRPr="00DC0D9B">
        <w:rPr>
          <w:rFonts w:ascii="Century Schoolbook" w:hAnsi="Century Schoolbook"/>
          <w:i/>
          <w:sz w:val="18"/>
          <w:szCs w:val="18"/>
        </w:rPr>
        <w:t xml:space="preserve"> </w:t>
      </w:r>
      <w:r w:rsidRPr="00DC0D9B">
        <w:rPr>
          <w:rFonts w:ascii="Century Schoolbook" w:hAnsi="Century Schoolbook"/>
          <w:sz w:val="18"/>
          <w:szCs w:val="18"/>
        </w:rPr>
        <w:t>§ 20.132.</w:t>
      </w:r>
    </w:p>
  </w:footnote>
  <w:footnote w:id="16">
    <w:p w:rsidR="00DC0D9B" w:rsidRPr="00DC0D9B" w:rsidRDefault="00DC0D9B" w:rsidP="00610156">
      <w:pPr>
        <w:pStyle w:val="FootnoteText"/>
        <w:rPr>
          <w:rFonts w:ascii="Century Schoolbook" w:hAnsi="Century Schoolbook"/>
          <w:sz w:val="18"/>
          <w:szCs w:val="18"/>
        </w:rPr>
      </w:pPr>
      <w:r w:rsidRPr="00DC0D9B">
        <w:rPr>
          <w:rStyle w:val="FootnoteReference"/>
          <w:rFonts w:ascii="Century Schoolbook" w:hAnsi="Century Schoolbook"/>
          <w:sz w:val="18"/>
          <w:szCs w:val="18"/>
        </w:rPr>
        <w:footnoteRef/>
      </w:r>
      <w:r w:rsidRPr="00DC0D9B">
        <w:rPr>
          <w:rFonts w:ascii="Century Schoolbook" w:hAnsi="Century Schoolbook"/>
          <w:sz w:val="18"/>
          <w:szCs w:val="18"/>
        </w:rPr>
        <w:t xml:space="preserve"> </w:t>
      </w:r>
      <w:r w:rsidRPr="00DC0D9B">
        <w:rPr>
          <w:rFonts w:ascii="Century Schoolbook" w:hAnsi="Century Schoolbook"/>
          <w:i/>
          <w:sz w:val="18"/>
          <w:szCs w:val="18"/>
        </w:rPr>
        <w:t>Id.</w:t>
      </w:r>
      <w:r w:rsidRPr="00DC0D9B">
        <w:rPr>
          <w:rFonts w:ascii="Century Schoolbook" w:hAnsi="Century Schoolbook"/>
          <w:sz w:val="18"/>
          <w:szCs w:val="18"/>
        </w:rPr>
        <w:t xml:space="preserve"> </w:t>
      </w:r>
    </w:p>
  </w:footnote>
  <w:footnote w:id="17">
    <w:p w:rsidR="00DC0D9B" w:rsidRPr="00DC0D9B" w:rsidRDefault="00DC0D9B">
      <w:pPr>
        <w:pStyle w:val="FootnoteText"/>
        <w:rPr>
          <w:rFonts w:ascii="Century Schoolbook" w:hAnsi="Century Schoolbook"/>
          <w:sz w:val="18"/>
          <w:szCs w:val="18"/>
        </w:rPr>
      </w:pPr>
      <w:r w:rsidRPr="00DC0D9B">
        <w:rPr>
          <w:rStyle w:val="FootnoteReference"/>
          <w:rFonts w:ascii="Century Schoolbook" w:hAnsi="Century Schoolbook"/>
          <w:sz w:val="18"/>
          <w:szCs w:val="18"/>
        </w:rPr>
        <w:footnoteRef/>
      </w:r>
      <w:r w:rsidRPr="00DC0D9B">
        <w:rPr>
          <w:rFonts w:ascii="Century Schoolbook" w:hAnsi="Century Schoolbook"/>
          <w:sz w:val="18"/>
          <w:szCs w:val="18"/>
        </w:rPr>
        <w:t xml:space="preserve"> Accordingly, parties should consider whether they wish to attach conditions to such waivers, such as choice of law, permitting or prohibiting consolidation, or agreeing only to try compensatory damages or certain claims.</w:t>
      </w:r>
    </w:p>
  </w:footnote>
  <w:footnote w:id="18">
    <w:p w:rsidR="00DC0D9B" w:rsidRDefault="00DC0D9B">
      <w:pPr>
        <w:pStyle w:val="FootnoteText"/>
      </w:pPr>
      <w:r w:rsidRPr="00DC0D9B">
        <w:rPr>
          <w:rStyle w:val="FootnoteReference"/>
          <w:rFonts w:ascii="Century Schoolbook" w:hAnsi="Century Schoolbook"/>
          <w:sz w:val="18"/>
          <w:szCs w:val="18"/>
        </w:rPr>
        <w:footnoteRef/>
      </w:r>
      <w:r w:rsidRPr="00DC0D9B">
        <w:rPr>
          <w:rFonts w:ascii="Century Schoolbook" w:hAnsi="Century Schoolbook"/>
          <w:sz w:val="18"/>
          <w:szCs w:val="18"/>
        </w:rPr>
        <w:t xml:space="preserve"> Such waivers may also address topics such as choice of law, consolidated trials, and bifurcation of damages or issues.</w:t>
      </w:r>
    </w:p>
  </w:footnote>
  <w:footnote w:id="19">
    <w:p w:rsidR="00DC0D9B" w:rsidRPr="00DC0D9B" w:rsidRDefault="00DC0D9B" w:rsidP="00610156">
      <w:pPr>
        <w:pStyle w:val="FootnoteText"/>
        <w:rPr>
          <w:rFonts w:ascii="Century Schoolbook" w:hAnsi="Century Schoolbook"/>
          <w:sz w:val="18"/>
          <w:szCs w:val="18"/>
        </w:rPr>
      </w:pPr>
      <w:r w:rsidRPr="00DC0D9B">
        <w:rPr>
          <w:rStyle w:val="FootnoteReference"/>
          <w:rFonts w:ascii="Century Schoolbook" w:hAnsi="Century Schoolbook"/>
          <w:sz w:val="18"/>
          <w:szCs w:val="18"/>
        </w:rPr>
        <w:footnoteRef/>
      </w:r>
      <w:r w:rsidRPr="00DC0D9B">
        <w:rPr>
          <w:rFonts w:ascii="Century Schoolbook" w:hAnsi="Century Schoolbook"/>
          <w:sz w:val="18"/>
          <w:szCs w:val="18"/>
        </w:rPr>
        <w:t xml:space="preserve"> 870 F.3d 345 (5th Cir. 2017).</w:t>
      </w:r>
    </w:p>
  </w:footnote>
  <w:footnote w:id="20">
    <w:p w:rsidR="00DC0D9B" w:rsidRPr="009E622F" w:rsidRDefault="00DC0D9B" w:rsidP="00610156">
      <w:pPr>
        <w:pStyle w:val="FootnoteText"/>
        <w:rPr>
          <w:rFonts w:ascii="Century Schoolbook" w:hAnsi="Century Schoolbook"/>
          <w:i/>
          <w:sz w:val="18"/>
          <w:szCs w:val="18"/>
        </w:rPr>
      </w:pPr>
      <w:r w:rsidRPr="009E622F">
        <w:rPr>
          <w:rStyle w:val="FootnoteReference"/>
          <w:rFonts w:ascii="Century Schoolbook" w:hAnsi="Century Schoolbook"/>
          <w:sz w:val="18"/>
          <w:szCs w:val="18"/>
        </w:rPr>
        <w:footnoteRef/>
      </w:r>
      <w:r w:rsidRPr="009E622F">
        <w:rPr>
          <w:rFonts w:ascii="Century Schoolbook" w:hAnsi="Century Schoolbook"/>
          <w:sz w:val="18"/>
          <w:szCs w:val="18"/>
        </w:rPr>
        <w:t xml:space="preserve"> MCL</w:t>
      </w:r>
      <w:r w:rsidRPr="009E622F">
        <w:rPr>
          <w:rFonts w:ascii="Century Schoolbook" w:hAnsi="Century Schoolbook"/>
          <w:i/>
          <w:sz w:val="18"/>
          <w:szCs w:val="18"/>
        </w:rPr>
        <w:t xml:space="preserve"> </w:t>
      </w:r>
      <w:r w:rsidRPr="009E622F">
        <w:rPr>
          <w:rFonts w:ascii="Century Schoolbook" w:hAnsi="Century Schoolbook"/>
          <w:sz w:val="18"/>
          <w:szCs w:val="18"/>
        </w:rPr>
        <w:t>§ 20.132.  Such an order should not alter filing-fee requirements.</w:t>
      </w:r>
    </w:p>
  </w:footnote>
  <w:footnote w:id="21">
    <w:p w:rsidR="00DC0D9B" w:rsidRPr="00C239C8" w:rsidRDefault="00DC0D9B" w:rsidP="00610156">
      <w:pPr>
        <w:pStyle w:val="FootnoteText"/>
        <w:rPr>
          <w:rFonts w:ascii="Century Schoolbook" w:hAnsi="Century Schoolbook"/>
        </w:rPr>
      </w:pPr>
      <w:r w:rsidRPr="009E622F">
        <w:rPr>
          <w:rStyle w:val="FootnoteReference"/>
          <w:rFonts w:ascii="Century Schoolbook" w:hAnsi="Century Schoolbook"/>
          <w:sz w:val="18"/>
          <w:szCs w:val="18"/>
        </w:rPr>
        <w:footnoteRef/>
      </w:r>
      <w:r w:rsidRPr="009E622F">
        <w:rPr>
          <w:rFonts w:ascii="Century Schoolbook" w:hAnsi="Century Schoolbook"/>
          <w:sz w:val="18"/>
          <w:szCs w:val="18"/>
        </w:rPr>
        <w:t xml:space="preserve"> </w:t>
      </w:r>
      <w:r w:rsidRPr="009E622F">
        <w:rPr>
          <w:rFonts w:ascii="Century Schoolbook" w:hAnsi="Century Schoolbook"/>
          <w:i/>
          <w:color w:val="000000" w:themeColor="text1"/>
          <w:sz w:val="18"/>
          <w:szCs w:val="18"/>
        </w:rPr>
        <w:t xml:space="preserve">See supra </w:t>
      </w:r>
      <w:r w:rsidRPr="009E622F">
        <w:rPr>
          <w:rFonts w:ascii="Century Schoolbook" w:hAnsi="Century Schoolbook"/>
          <w:color w:val="000000" w:themeColor="text1"/>
          <w:sz w:val="18"/>
          <w:szCs w:val="18"/>
        </w:rPr>
        <w:t xml:space="preserve">note </w:t>
      </w:r>
      <w:r w:rsidRPr="009E622F">
        <w:rPr>
          <w:rFonts w:ascii="Century Schoolbook" w:hAnsi="Century Schoolbook"/>
          <w:color w:val="000000" w:themeColor="text1"/>
          <w:sz w:val="18"/>
          <w:szCs w:val="18"/>
        </w:rPr>
        <w:fldChar w:fldCharType="begin"/>
      </w:r>
      <w:r w:rsidRPr="009E622F">
        <w:rPr>
          <w:rFonts w:ascii="Century Schoolbook" w:hAnsi="Century Schoolbook"/>
          <w:color w:val="000000" w:themeColor="text1"/>
          <w:sz w:val="18"/>
          <w:szCs w:val="18"/>
        </w:rPr>
        <w:instrText xml:space="preserve"> NOTEREF _Ref501978653 \h </w:instrText>
      </w:r>
      <w:r w:rsidR="009E622F">
        <w:rPr>
          <w:rFonts w:ascii="Century Schoolbook" w:hAnsi="Century Schoolbook"/>
          <w:color w:val="000000" w:themeColor="text1"/>
          <w:sz w:val="18"/>
          <w:szCs w:val="18"/>
        </w:rPr>
        <w:instrText xml:space="preserve"> \* MERGEFORMAT </w:instrText>
      </w:r>
      <w:r w:rsidRPr="009E622F">
        <w:rPr>
          <w:rFonts w:ascii="Century Schoolbook" w:hAnsi="Century Schoolbook"/>
          <w:color w:val="000000" w:themeColor="text1"/>
          <w:sz w:val="18"/>
          <w:szCs w:val="18"/>
        </w:rPr>
      </w:r>
      <w:r w:rsidRPr="009E622F">
        <w:rPr>
          <w:rFonts w:ascii="Century Schoolbook" w:hAnsi="Century Schoolbook"/>
          <w:color w:val="000000" w:themeColor="text1"/>
          <w:sz w:val="18"/>
          <w:szCs w:val="18"/>
        </w:rPr>
        <w:fldChar w:fldCharType="separate"/>
      </w:r>
      <w:r w:rsidRPr="009E622F">
        <w:rPr>
          <w:rFonts w:ascii="Century Schoolbook" w:hAnsi="Century Schoolbook"/>
          <w:color w:val="000000" w:themeColor="text1"/>
          <w:sz w:val="18"/>
          <w:szCs w:val="18"/>
        </w:rPr>
        <w:t>12</w:t>
      </w:r>
      <w:r w:rsidRPr="009E622F">
        <w:rPr>
          <w:rFonts w:ascii="Century Schoolbook" w:hAnsi="Century Schoolbook"/>
          <w:color w:val="000000" w:themeColor="text1"/>
          <w:sz w:val="18"/>
          <w:szCs w:val="18"/>
        </w:rPr>
        <w:fldChar w:fldCharType="end"/>
      </w:r>
      <w:r w:rsidRPr="009E622F">
        <w:rPr>
          <w:rFonts w:ascii="Century Schoolbook" w:hAnsi="Century Schoolbook"/>
          <w:color w:val="000000" w:themeColor="text1"/>
          <w:sz w:val="18"/>
          <w:szCs w:val="18"/>
        </w:rPr>
        <w:t>.</w:t>
      </w:r>
      <w:r w:rsidRPr="009E622F">
        <w:rPr>
          <w:rFonts w:ascii="Century Schoolbook" w:hAnsi="Century Schoolbook"/>
          <w:sz w:val="18"/>
          <w:szCs w:val="18"/>
        </w:rPr>
        <w:t xml:space="preserve"> Direct filing must be consistent with constitutional limits on personal jurisdiction.</w:t>
      </w:r>
    </w:p>
  </w:footnote>
  <w:footnote w:id="22">
    <w:p w:rsidR="00DC0D9B" w:rsidRPr="009E622F" w:rsidRDefault="00DC0D9B" w:rsidP="00610156">
      <w:pPr>
        <w:pStyle w:val="FootnoteText"/>
        <w:jc w:val="both"/>
        <w:rPr>
          <w:rFonts w:ascii="Century Schoolbook" w:hAnsi="Century Schoolbook"/>
          <w:sz w:val="18"/>
          <w:szCs w:val="18"/>
        </w:rPr>
      </w:pPr>
      <w:r w:rsidRPr="009E622F">
        <w:rPr>
          <w:rStyle w:val="FootnoteReference"/>
          <w:rFonts w:ascii="Century Schoolbook" w:hAnsi="Century Schoolbook"/>
          <w:sz w:val="18"/>
          <w:szCs w:val="18"/>
        </w:rPr>
        <w:footnoteRef/>
      </w:r>
      <w:r w:rsidRPr="009E622F">
        <w:rPr>
          <w:rFonts w:ascii="Century Schoolbook" w:hAnsi="Century Schoolbook"/>
          <w:sz w:val="18"/>
          <w:szCs w:val="18"/>
        </w:rPr>
        <w:t xml:space="preserve"> </w:t>
      </w:r>
      <w:r w:rsidRPr="009E622F">
        <w:rPr>
          <w:rFonts w:ascii="Century Schoolbook" w:hAnsi="Century Schoolbook"/>
          <w:i/>
          <w:sz w:val="18"/>
          <w:szCs w:val="18"/>
        </w:rPr>
        <w:t xml:space="preserve">See infra </w:t>
      </w:r>
      <w:r w:rsidRPr="009E622F">
        <w:rPr>
          <w:rFonts w:ascii="Century Schoolbook" w:hAnsi="Century Schoolbook"/>
          <w:smallCaps/>
          <w:sz w:val="18"/>
          <w:szCs w:val="18"/>
        </w:rPr>
        <w:t>Best Practices 18E–18E</w:t>
      </w:r>
      <w:r w:rsidRPr="009E622F">
        <w:rPr>
          <w:rFonts w:ascii="Century Schoolbook" w:hAnsi="Century Schoolbook"/>
          <w:sz w:val="18"/>
          <w:szCs w:val="18"/>
        </w:rPr>
        <w:t>(iii</w:t>
      </w:r>
      <w:r w:rsidRPr="009E622F">
        <w:rPr>
          <w:rFonts w:ascii="Century Schoolbook" w:hAnsi="Century Schoolbook"/>
          <w:smallCaps/>
          <w:sz w:val="18"/>
          <w:szCs w:val="18"/>
        </w:rPr>
        <w:t>), 18F</w:t>
      </w:r>
      <w:r w:rsidRPr="009E622F">
        <w:rPr>
          <w:rFonts w:ascii="Century Schoolbook" w:hAnsi="Century Schoolbook"/>
          <w:sz w:val="18"/>
          <w:szCs w:val="18"/>
        </w:rPr>
        <w:t>.</w:t>
      </w:r>
    </w:p>
  </w:footnote>
  <w:footnote w:id="23">
    <w:p w:rsidR="00DC0D9B" w:rsidRPr="009E622F" w:rsidRDefault="00DC0D9B" w:rsidP="00610156">
      <w:pPr>
        <w:spacing w:before="56"/>
        <w:ind w:right="115"/>
        <w:rPr>
          <w:sz w:val="18"/>
          <w:szCs w:val="18"/>
        </w:rPr>
      </w:pPr>
      <w:r w:rsidRPr="009E622F">
        <w:rPr>
          <w:rStyle w:val="FootnoteReference"/>
          <w:rFonts w:ascii="Century Schoolbook" w:hAnsi="Century Schoolbook"/>
          <w:sz w:val="18"/>
          <w:szCs w:val="18"/>
        </w:rPr>
        <w:footnoteRef/>
      </w:r>
      <w:r w:rsidRPr="009E622F">
        <w:rPr>
          <w:rFonts w:ascii="Century Schoolbook" w:hAnsi="Century Schoolbook"/>
          <w:sz w:val="18"/>
          <w:szCs w:val="18"/>
        </w:rPr>
        <w:t xml:space="preserve"> </w:t>
      </w:r>
      <w:r w:rsidRPr="009E622F">
        <w:rPr>
          <w:rFonts w:ascii="Century Schoolbook" w:hAnsi="Century Schoolbook"/>
          <w:i/>
          <w:color w:val="000000" w:themeColor="text1"/>
          <w:sz w:val="18"/>
          <w:szCs w:val="18"/>
        </w:rPr>
        <w:t>See, e.g.</w:t>
      </w:r>
      <w:r w:rsidRPr="009E622F">
        <w:rPr>
          <w:rFonts w:ascii="Century Schoolbook" w:hAnsi="Century Schoolbook"/>
          <w:color w:val="000000" w:themeColor="text1"/>
          <w:sz w:val="18"/>
          <w:szCs w:val="18"/>
        </w:rPr>
        <w:t xml:space="preserve">, Joint Bellwether Plan, </w:t>
      </w:r>
      <w:r w:rsidRPr="009E622F">
        <w:rPr>
          <w:rFonts w:ascii="Century Schoolbook" w:hAnsi="Century Schoolbook"/>
          <w:i/>
          <w:color w:val="000000" w:themeColor="text1"/>
          <w:sz w:val="18"/>
          <w:szCs w:val="18"/>
        </w:rPr>
        <w:t>In re Hydroxycut Mktg. &amp; Sales Practices Litig</w:t>
      </w:r>
      <w:r w:rsidRPr="009E622F">
        <w:rPr>
          <w:rFonts w:ascii="Century Schoolbook" w:hAnsi="Century Schoolbook"/>
          <w:color w:val="000000" w:themeColor="text1"/>
          <w:sz w:val="18"/>
          <w:szCs w:val="18"/>
        </w:rPr>
        <w:t xml:space="preserve">., (S.D. Cal. Mar. 19, 2012) (providing that each party will pick an equal number of trial candidates, subject to veto from the other side, that will then be tried alternately); Pretrial Order #10 at 2, </w:t>
      </w:r>
      <w:r w:rsidRPr="009E622F">
        <w:rPr>
          <w:rFonts w:ascii="Century Schoolbook" w:hAnsi="Century Schoolbook"/>
          <w:i/>
          <w:color w:val="000000" w:themeColor="text1"/>
          <w:sz w:val="18"/>
          <w:szCs w:val="18"/>
        </w:rPr>
        <w:t>In re</w:t>
      </w:r>
      <w:r w:rsidRPr="009E622F">
        <w:rPr>
          <w:rFonts w:ascii="Century Schoolbook" w:hAnsi="Century Schoolbook"/>
          <w:color w:val="000000" w:themeColor="text1"/>
          <w:sz w:val="18"/>
          <w:szCs w:val="18"/>
        </w:rPr>
        <w:t xml:space="preserve"> </w:t>
      </w:r>
      <w:r w:rsidRPr="009E622F">
        <w:rPr>
          <w:rFonts w:ascii="Century Schoolbook" w:hAnsi="Century Schoolbook"/>
          <w:i/>
          <w:color w:val="000000" w:themeColor="text1"/>
          <w:sz w:val="18"/>
          <w:szCs w:val="18"/>
        </w:rPr>
        <w:t>Levaquin Prods. Liab. Litig</w:t>
      </w:r>
      <w:r w:rsidRPr="009E622F">
        <w:rPr>
          <w:rFonts w:ascii="Century Schoolbook" w:hAnsi="Century Schoolbook"/>
          <w:color w:val="000000" w:themeColor="text1"/>
          <w:sz w:val="18"/>
          <w:szCs w:val="18"/>
        </w:rPr>
        <w:t xml:space="preserve">.,  (D. Minn. Mar. 8, 2011) (the “[c]ourt, upon recommendation by the parties, designated six individual plaintiffs . . . as possible bellwether” candidates and then allowed parties to take turns choosing cases to be tried); Case Management Order No. 9 at 2–3, </w:t>
      </w:r>
      <w:r w:rsidRPr="009E622F">
        <w:rPr>
          <w:rFonts w:ascii="Century Schoolbook" w:hAnsi="Century Schoolbook"/>
          <w:i/>
          <w:color w:val="000000" w:themeColor="text1"/>
          <w:sz w:val="18"/>
          <w:szCs w:val="18"/>
        </w:rPr>
        <w:t>In re Fosamax Prods. Liab. Litig</w:t>
      </w:r>
      <w:r w:rsidRPr="009E622F">
        <w:rPr>
          <w:rFonts w:ascii="Century Schoolbook" w:hAnsi="Century Schoolbook"/>
          <w:color w:val="000000" w:themeColor="text1"/>
          <w:sz w:val="18"/>
          <w:szCs w:val="18"/>
        </w:rPr>
        <w:t xml:space="preserve">., (S.D.N.Y Jan. 31, 2007) (providing that each party will pick 12 cases to fill the bellwether trial pool, with the Court picking an additional case; from that pool, plaintiffs, defendants and the court will each pick a trial case and the court “will randomly select the order in which each of the three cases will be tried”); Order Re: Bellwether Trial Selection at 2, </w:t>
      </w:r>
      <w:r w:rsidRPr="009E622F">
        <w:rPr>
          <w:rFonts w:ascii="Century Schoolbook" w:hAnsi="Century Schoolbook"/>
          <w:i/>
          <w:color w:val="000000" w:themeColor="text1"/>
          <w:sz w:val="18"/>
          <w:szCs w:val="18"/>
        </w:rPr>
        <w:t>In re Prempro Prods. Liab. Litig</w:t>
      </w:r>
      <w:r w:rsidRPr="009E622F">
        <w:rPr>
          <w:rFonts w:ascii="Century Schoolbook" w:hAnsi="Century Schoolbook"/>
          <w:color w:val="000000" w:themeColor="text1"/>
          <w:sz w:val="18"/>
          <w:szCs w:val="18"/>
        </w:rPr>
        <w:t>., (E.D. Ark. June 20, 2005) (selecting fifteen cases at random for the bellwether trial pool and then the directing the “parties must ‘meet and confer’” to “together select”</w:t>
      </w:r>
      <w:r w:rsidRPr="009E622F">
        <w:rPr>
          <w:rFonts w:ascii="Century Schoolbook" w:hAnsi="Century Schoolbook"/>
          <w:color w:val="000000" w:themeColor="text1"/>
          <w:spacing w:val="-5"/>
          <w:sz w:val="18"/>
          <w:szCs w:val="18"/>
        </w:rPr>
        <w:t xml:space="preserve"> </w:t>
      </w:r>
      <w:r w:rsidRPr="009E622F">
        <w:rPr>
          <w:rFonts w:ascii="Century Schoolbook" w:hAnsi="Century Schoolbook"/>
          <w:color w:val="000000" w:themeColor="text1"/>
          <w:sz w:val="18"/>
          <w:szCs w:val="18"/>
        </w:rPr>
        <w:t>five</w:t>
      </w:r>
      <w:r w:rsidRPr="009E622F">
        <w:rPr>
          <w:rFonts w:ascii="Century Schoolbook" w:hAnsi="Century Schoolbook"/>
          <w:color w:val="000000" w:themeColor="text1"/>
          <w:spacing w:val="-5"/>
          <w:sz w:val="18"/>
          <w:szCs w:val="18"/>
        </w:rPr>
        <w:t xml:space="preserve"> </w:t>
      </w:r>
      <w:r w:rsidRPr="009E622F">
        <w:rPr>
          <w:rFonts w:ascii="Century Schoolbook" w:hAnsi="Century Schoolbook"/>
          <w:color w:val="000000" w:themeColor="text1"/>
          <w:sz w:val="18"/>
          <w:szCs w:val="18"/>
        </w:rPr>
        <w:t>cases</w:t>
      </w:r>
      <w:r w:rsidRPr="009E622F">
        <w:rPr>
          <w:rFonts w:ascii="Century Schoolbook" w:hAnsi="Century Schoolbook"/>
          <w:color w:val="000000" w:themeColor="text1"/>
          <w:spacing w:val="-5"/>
          <w:sz w:val="18"/>
          <w:szCs w:val="18"/>
        </w:rPr>
        <w:t xml:space="preserve"> </w:t>
      </w:r>
      <w:r w:rsidRPr="009E622F">
        <w:rPr>
          <w:rFonts w:ascii="Century Schoolbook" w:hAnsi="Century Schoolbook"/>
          <w:color w:val="000000" w:themeColor="text1"/>
          <w:sz w:val="18"/>
          <w:szCs w:val="18"/>
        </w:rPr>
        <w:t>that</w:t>
      </w:r>
      <w:r w:rsidRPr="009E622F">
        <w:rPr>
          <w:rFonts w:ascii="Century Schoolbook" w:hAnsi="Century Schoolbook"/>
          <w:color w:val="000000" w:themeColor="text1"/>
          <w:spacing w:val="-5"/>
          <w:sz w:val="18"/>
          <w:szCs w:val="18"/>
        </w:rPr>
        <w:t xml:space="preserve"> </w:t>
      </w:r>
      <w:r w:rsidRPr="009E622F">
        <w:rPr>
          <w:rFonts w:ascii="Century Schoolbook" w:hAnsi="Century Schoolbook"/>
          <w:color w:val="000000" w:themeColor="text1"/>
          <w:sz w:val="18"/>
          <w:szCs w:val="18"/>
        </w:rPr>
        <w:t>involve</w:t>
      </w:r>
      <w:r w:rsidRPr="009E622F">
        <w:rPr>
          <w:rFonts w:ascii="Century Schoolbook" w:hAnsi="Century Schoolbook"/>
          <w:color w:val="000000" w:themeColor="text1"/>
          <w:spacing w:val="-6"/>
          <w:sz w:val="18"/>
          <w:szCs w:val="18"/>
        </w:rPr>
        <w:t xml:space="preserve"> </w:t>
      </w:r>
      <w:r w:rsidRPr="009E622F">
        <w:rPr>
          <w:rFonts w:ascii="Century Schoolbook" w:hAnsi="Century Schoolbook"/>
          <w:color w:val="000000" w:themeColor="text1"/>
          <w:sz w:val="18"/>
          <w:szCs w:val="18"/>
        </w:rPr>
        <w:t>representative</w:t>
      </w:r>
      <w:r w:rsidRPr="009E622F">
        <w:rPr>
          <w:rFonts w:ascii="Century Schoolbook" w:hAnsi="Century Schoolbook"/>
          <w:color w:val="000000" w:themeColor="text1"/>
          <w:spacing w:val="-7"/>
          <w:sz w:val="18"/>
          <w:szCs w:val="18"/>
        </w:rPr>
        <w:t xml:space="preserve"> </w:t>
      </w:r>
      <w:r w:rsidRPr="009E622F">
        <w:rPr>
          <w:rFonts w:ascii="Century Schoolbook" w:hAnsi="Century Schoolbook"/>
          <w:color w:val="000000" w:themeColor="text1"/>
          <w:sz w:val="18"/>
          <w:szCs w:val="18"/>
        </w:rPr>
        <w:t>plaintiffs</w:t>
      </w:r>
      <w:r w:rsidRPr="009E622F">
        <w:rPr>
          <w:rFonts w:ascii="Century Schoolbook" w:hAnsi="Century Schoolbook"/>
          <w:color w:val="000000" w:themeColor="text1"/>
          <w:spacing w:val="-5"/>
          <w:sz w:val="18"/>
          <w:szCs w:val="18"/>
        </w:rPr>
        <w:t xml:space="preserve"> </w:t>
      </w:r>
      <w:r w:rsidRPr="009E622F">
        <w:rPr>
          <w:rFonts w:ascii="Century Schoolbook" w:hAnsi="Century Schoolbook"/>
          <w:color w:val="000000" w:themeColor="text1"/>
          <w:sz w:val="18"/>
          <w:szCs w:val="18"/>
        </w:rPr>
        <w:t>for</w:t>
      </w:r>
      <w:r w:rsidRPr="009E622F">
        <w:rPr>
          <w:rFonts w:ascii="Century Schoolbook" w:hAnsi="Century Schoolbook"/>
          <w:color w:val="000000" w:themeColor="text1"/>
          <w:spacing w:val="-5"/>
          <w:sz w:val="18"/>
          <w:szCs w:val="18"/>
        </w:rPr>
        <w:t xml:space="preserve"> </w:t>
      </w:r>
      <w:r w:rsidRPr="009E622F">
        <w:rPr>
          <w:rFonts w:ascii="Century Schoolbook" w:hAnsi="Century Schoolbook"/>
          <w:color w:val="000000" w:themeColor="text1"/>
          <w:sz w:val="18"/>
          <w:szCs w:val="18"/>
        </w:rPr>
        <w:t>trial).</w:t>
      </w:r>
    </w:p>
  </w:footnote>
  <w:footnote w:id="24">
    <w:p w:rsidR="00DC0D9B" w:rsidRPr="00C239C8" w:rsidRDefault="00DC0D9B" w:rsidP="00610156">
      <w:pPr>
        <w:pStyle w:val="FootnoteText"/>
        <w:rPr>
          <w:rFonts w:ascii="Century Schoolbook" w:hAnsi="Century Schoolbook"/>
        </w:rPr>
      </w:pPr>
      <w:r w:rsidRPr="009E622F">
        <w:rPr>
          <w:rStyle w:val="FootnoteReference"/>
          <w:rFonts w:ascii="Century Schoolbook" w:hAnsi="Century Schoolbook"/>
          <w:sz w:val="18"/>
          <w:szCs w:val="18"/>
        </w:rPr>
        <w:footnoteRef/>
      </w:r>
      <w:r w:rsidRPr="009E622F">
        <w:rPr>
          <w:rFonts w:ascii="Century Schoolbook" w:hAnsi="Century Schoolbook"/>
          <w:sz w:val="18"/>
          <w:szCs w:val="18"/>
        </w:rPr>
        <w:t xml:space="preserve"> </w:t>
      </w:r>
      <w:r w:rsidRPr="009E622F">
        <w:rPr>
          <w:rFonts w:ascii="Century Schoolbook" w:hAnsi="Century Schoolbook"/>
          <w:color w:val="000000" w:themeColor="text1"/>
          <w:sz w:val="18"/>
          <w:szCs w:val="18"/>
        </w:rPr>
        <w:t>MCL</w:t>
      </w:r>
      <w:r w:rsidRPr="009E622F">
        <w:rPr>
          <w:rFonts w:ascii="Century Schoolbook" w:hAnsi="Century Schoolbook"/>
          <w:i/>
          <w:color w:val="000000" w:themeColor="text1"/>
          <w:sz w:val="18"/>
          <w:szCs w:val="18"/>
        </w:rPr>
        <w:t xml:space="preserve"> </w:t>
      </w:r>
      <w:r w:rsidRPr="009E622F">
        <w:rPr>
          <w:rFonts w:ascii="Century Schoolbook" w:hAnsi="Century Schoolbook"/>
          <w:color w:val="000000" w:themeColor="text1"/>
          <w:sz w:val="18"/>
          <w:szCs w:val="18"/>
        </w:rPr>
        <w:t>§ 22.315.</w:t>
      </w:r>
    </w:p>
  </w:footnote>
  <w:footnote w:id="25">
    <w:p w:rsidR="00DC0D9B" w:rsidRPr="009E622F" w:rsidRDefault="00DC0D9B" w:rsidP="00610156">
      <w:pPr>
        <w:pStyle w:val="FootnoteText"/>
        <w:rPr>
          <w:rFonts w:ascii="Century Schoolbook" w:hAnsi="Century Schoolbook"/>
          <w:sz w:val="18"/>
          <w:szCs w:val="18"/>
        </w:rPr>
      </w:pPr>
      <w:r w:rsidRPr="009E622F">
        <w:rPr>
          <w:rStyle w:val="FootnoteReference"/>
          <w:rFonts w:ascii="Century Schoolbook" w:hAnsi="Century Schoolbook"/>
          <w:sz w:val="18"/>
          <w:szCs w:val="18"/>
        </w:rPr>
        <w:footnoteRef/>
      </w:r>
      <w:r w:rsidRPr="009E622F">
        <w:rPr>
          <w:rFonts w:ascii="Century Schoolbook" w:hAnsi="Century Schoolbook"/>
          <w:sz w:val="18"/>
          <w:szCs w:val="18"/>
        </w:rPr>
        <w:t xml:space="preserve"> </w:t>
      </w:r>
      <w:r w:rsidRPr="009E622F">
        <w:rPr>
          <w:rFonts w:ascii="Century Schoolbook" w:hAnsi="Century Schoolbook"/>
          <w:i/>
          <w:color w:val="000000" w:themeColor="text1"/>
          <w:sz w:val="18"/>
          <w:szCs w:val="18"/>
        </w:rPr>
        <w:t xml:space="preserve">See </w:t>
      </w:r>
      <w:r w:rsidRPr="009E622F">
        <w:rPr>
          <w:rFonts w:ascii="Century Schoolbook" w:hAnsi="Century Schoolbook"/>
          <w:color w:val="000000" w:themeColor="text1"/>
          <w:sz w:val="18"/>
          <w:szCs w:val="18"/>
        </w:rPr>
        <w:t xml:space="preserve">Pretrial Order No. 89, </w:t>
      </w:r>
      <w:r w:rsidRPr="009E622F">
        <w:rPr>
          <w:rFonts w:ascii="Century Schoolbook" w:hAnsi="Century Schoolbook"/>
          <w:i/>
          <w:color w:val="000000" w:themeColor="text1"/>
          <w:sz w:val="18"/>
          <w:szCs w:val="18"/>
        </w:rPr>
        <w:t>In re Baycol Prods. Litig</w:t>
      </w:r>
      <w:r w:rsidRPr="009E622F">
        <w:rPr>
          <w:rFonts w:ascii="Century Schoolbook" w:hAnsi="Century Schoolbook"/>
          <w:color w:val="000000" w:themeColor="text1"/>
          <w:sz w:val="18"/>
          <w:szCs w:val="18"/>
        </w:rPr>
        <w:t xml:space="preserve">., (D. Minn. July 18, 2003); </w:t>
      </w:r>
      <w:r w:rsidRPr="009E622F">
        <w:rPr>
          <w:rFonts w:ascii="Century Schoolbook" w:hAnsi="Century Schoolbook"/>
          <w:i/>
          <w:color w:val="000000" w:themeColor="text1"/>
          <w:sz w:val="18"/>
          <w:szCs w:val="18"/>
        </w:rPr>
        <w:t>see also In re Norplant Contraceptive Prods. Liab. Litig</w:t>
      </w:r>
      <w:r w:rsidRPr="009E622F">
        <w:rPr>
          <w:rFonts w:ascii="Century Schoolbook" w:hAnsi="Century Schoolbook"/>
          <w:color w:val="000000" w:themeColor="text1"/>
          <w:sz w:val="18"/>
          <w:szCs w:val="18"/>
        </w:rPr>
        <w:t>., No. 4:03-cv-1507-WRW, 1996 WL 571536, at *1 (E.D. Tex. Aug 13, 1996) (“[f]ollowing random selection of the twenty-five bellwether trial plaintiffs”).</w:t>
      </w:r>
    </w:p>
  </w:footnote>
  <w:footnote w:id="26">
    <w:p w:rsidR="00DC0D9B" w:rsidRPr="009E622F" w:rsidRDefault="00DC0D9B" w:rsidP="00610156">
      <w:pPr>
        <w:pStyle w:val="FootnoteText"/>
        <w:rPr>
          <w:rFonts w:ascii="Century Schoolbook" w:hAnsi="Century Schoolbook"/>
          <w:sz w:val="18"/>
          <w:szCs w:val="18"/>
        </w:rPr>
      </w:pPr>
      <w:r w:rsidRPr="009E622F">
        <w:rPr>
          <w:rStyle w:val="FootnoteReference"/>
          <w:rFonts w:ascii="Century Schoolbook" w:hAnsi="Century Schoolbook"/>
          <w:sz w:val="18"/>
          <w:szCs w:val="18"/>
        </w:rPr>
        <w:footnoteRef/>
      </w:r>
      <w:r w:rsidRPr="009E622F">
        <w:rPr>
          <w:rFonts w:ascii="Century Schoolbook" w:hAnsi="Century Schoolbook"/>
          <w:sz w:val="18"/>
          <w:szCs w:val="18"/>
        </w:rPr>
        <w:t xml:space="preserve"> </w:t>
      </w:r>
      <w:r w:rsidRPr="009E622F">
        <w:rPr>
          <w:rFonts w:ascii="Century Schoolbook" w:hAnsi="Century Schoolbook"/>
          <w:i/>
          <w:color w:val="000000" w:themeColor="text1"/>
          <w:sz w:val="18"/>
          <w:szCs w:val="18"/>
        </w:rPr>
        <w:t xml:space="preserve">See </w:t>
      </w:r>
      <w:r w:rsidRPr="009E622F">
        <w:rPr>
          <w:rFonts w:ascii="Century Schoolbook" w:hAnsi="Century Schoolbook"/>
          <w:color w:val="000000" w:themeColor="text1"/>
          <w:sz w:val="18"/>
          <w:szCs w:val="18"/>
        </w:rPr>
        <w:t xml:space="preserve">Order re: Bellwether Trial Selection at 2, </w:t>
      </w:r>
      <w:r w:rsidRPr="009E622F">
        <w:rPr>
          <w:rFonts w:ascii="Century Schoolbook" w:hAnsi="Century Schoolbook"/>
          <w:i/>
          <w:color w:val="000000" w:themeColor="text1"/>
          <w:sz w:val="18"/>
          <w:szCs w:val="18"/>
        </w:rPr>
        <w:t>In re Prempro Prods. Liab. Litig</w:t>
      </w:r>
      <w:r w:rsidRPr="009E622F">
        <w:rPr>
          <w:rFonts w:ascii="Century Schoolbook" w:hAnsi="Century Schoolbook"/>
          <w:color w:val="000000" w:themeColor="text1"/>
          <w:sz w:val="18"/>
          <w:szCs w:val="18"/>
        </w:rPr>
        <w:t>., MDL No. 1507 (E.D. Ark. June 20, 2005).</w:t>
      </w:r>
    </w:p>
  </w:footnote>
  <w:footnote w:id="27">
    <w:p w:rsidR="00DC0D9B" w:rsidRPr="009E622F" w:rsidRDefault="00DC0D9B" w:rsidP="00610156">
      <w:pPr>
        <w:pStyle w:val="FootnoteText"/>
        <w:rPr>
          <w:rFonts w:ascii="Century Schoolbook" w:hAnsi="Century Schoolbook"/>
          <w:sz w:val="18"/>
          <w:szCs w:val="18"/>
        </w:rPr>
      </w:pPr>
      <w:r w:rsidRPr="009E622F">
        <w:rPr>
          <w:rStyle w:val="FootnoteReference"/>
          <w:rFonts w:ascii="Century Schoolbook" w:hAnsi="Century Schoolbook"/>
          <w:sz w:val="18"/>
          <w:szCs w:val="18"/>
        </w:rPr>
        <w:footnoteRef/>
      </w:r>
      <w:r w:rsidRPr="009E622F">
        <w:rPr>
          <w:rFonts w:ascii="Century Schoolbook" w:hAnsi="Century Schoolbook"/>
          <w:sz w:val="18"/>
          <w:szCs w:val="18"/>
        </w:rPr>
        <w:t xml:space="preserve"> </w:t>
      </w:r>
      <w:r w:rsidRPr="009E622F">
        <w:rPr>
          <w:rFonts w:ascii="Century Schoolbook" w:hAnsi="Century Schoolbook"/>
          <w:smallCaps/>
          <w:color w:val="000000" w:themeColor="text1"/>
          <w:sz w:val="18"/>
          <w:szCs w:val="18"/>
        </w:rPr>
        <w:t>Fed. Judicial Ctr., Nat’l Ctr. for State Courts, U.S. Judicial Panel on Multidistrict Litig., Coordinating Multijurisdiction Litigation: A Pocket Guide for Judges</w:t>
      </w:r>
      <w:r w:rsidRPr="009E622F">
        <w:rPr>
          <w:rFonts w:ascii="Century Schoolbook" w:hAnsi="Century Schoolbook"/>
          <w:i/>
          <w:color w:val="000000" w:themeColor="text1"/>
          <w:sz w:val="18"/>
          <w:szCs w:val="18"/>
        </w:rPr>
        <w:t xml:space="preserve"> </w:t>
      </w:r>
      <w:r w:rsidRPr="009E622F">
        <w:rPr>
          <w:rFonts w:ascii="Century Schoolbook" w:hAnsi="Century Schoolbook"/>
          <w:color w:val="000000" w:themeColor="text1"/>
          <w:sz w:val="18"/>
          <w:szCs w:val="18"/>
        </w:rPr>
        <w:t xml:space="preserve">12 (2013), https://www.fjc.gov/sites/default/files/2014/Coordinating-Multijurisdiction-Litigation-FJC-2013.pdf [hereinafter </w:t>
      </w:r>
      <w:r w:rsidRPr="009E622F">
        <w:rPr>
          <w:rFonts w:ascii="Century Schoolbook" w:hAnsi="Century Schoolbook"/>
          <w:smallCaps/>
          <w:color w:val="000000" w:themeColor="text1"/>
          <w:sz w:val="18"/>
          <w:szCs w:val="18"/>
        </w:rPr>
        <w:t>Coordinating Multijurisdiction Litigation</w:t>
      </w:r>
      <w:r w:rsidRPr="009E622F">
        <w:rPr>
          <w:rFonts w:ascii="Century Schoolbook" w:hAnsi="Century Schoolbook"/>
          <w:color w:val="000000" w:themeColor="text1"/>
          <w:sz w:val="18"/>
          <w:szCs w:val="18"/>
        </w:rPr>
        <w:t>] (“Selecting cases randomly . . . is unlikely to produce a representative set of verdicts that will assist the parties in reaching a global settlement.”).</w:t>
      </w:r>
    </w:p>
  </w:footnote>
  <w:footnote w:id="28">
    <w:p w:rsidR="00DC0D9B" w:rsidRPr="009E622F" w:rsidRDefault="00DC0D9B" w:rsidP="00610156">
      <w:pPr>
        <w:pStyle w:val="FootnoteText"/>
        <w:jc w:val="both"/>
        <w:rPr>
          <w:rFonts w:ascii="Century Schoolbook" w:hAnsi="Century Schoolbook"/>
          <w:sz w:val="18"/>
          <w:szCs w:val="18"/>
          <w:lang w:val="es-ES"/>
        </w:rPr>
      </w:pPr>
      <w:r w:rsidRPr="009E622F">
        <w:rPr>
          <w:rStyle w:val="FootnoteReference"/>
          <w:rFonts w:ascii="Century Schoolbook" w:hAnsi="Century Schoolbook"/>
          <w:sz w:val="18"/>
          <w:szCs w:val="18"/>
        </w:rPr>
        <w:footnoteRef/>
      </w:r>
      <w:r w:rsidRPr="009E622F">
        <w:rPr>
          <w:rFonts w:ascii="Century Schoolbook" w:hAnsi="Century Schoolbook"/>
          <w:sz w:val="18"/>
          <w:szCs w:val="18"/>
          <w:lang w:val="es-ES"/>
        </w:rPr>
        <w:t xml:space="preserve"> </w:t>
      </w:r>
      <w:r w:rsidRPr="009E622F">
        <w:rPr>
          <w:rFonts w:ascii="Century Schoolbook" w:hAnsi="Century Schoolbook"/>
          <w:color w:val="000000" w:themeColor="text1"/>
          <w:sz w:val="18"/>
          <w:szCs w:val="18"/>
          <w:lang w:val="es-ES"/>
        </w:rPr>
        <w:t>501 F. Supp. 2d 789, 791 (E.D. La. 2007).</w:t>
      </w:r>
    </w:p>
  </w:footnote>
  <w:footnote w:id="29">
    <w:p w:rsidR="00DC0D9B" w:rsidRPr="009E622F" w:rsidRDefault="00DC0D9B" w:rsidP="00610156">
      <w:pPr>
        <w:pStyle w:val="FootnoteText"/>
        <w:jc w:val="both"/>
        <w:rPr>
          <w:rFonts w:ascii="Century Schoolbook" w:hAnsi="Century Schoolbook"/>
          <w:i/>
          <w:sz w:val="18"/>
          <w:szCs w:val="18"/>
        </w:rPr>
      </w:pPr>
      <w:r w:rsidRPr="009E622F">
        <w:rPr>
          <w:rStyle w:val="FootnoteReference"/>
          <w:rFonts w:ascii="Century Schoolbook" w:hAnsi="Century Schoolbook"/>
          <w:sz w:val="18"/>
          <w:szCs w:val="18"/>
        </w:rPr>
        <w:footnoteRef/>
      </w:r>
      <w:r w:rsidRPr="009E622F">
        <w:rPr>
          <w:rFonts w:ascii="Century Schoolbook" w:hAnsi="Century Schoolbook"/>
          <w:sz w:val="18"/>
          <w:szCs w:val="18"/>
        </w:rPr>
        <w:t xml:space="preserve"> </w:t>
      </w:r>
      <w:r w:rsidRPr="009E622F">
        <w:rPr>
          <w:rFonts w:ascii="Century Schoolbook" w:hAnsi="Century Schoolbook"/>
          <w:i/>
          <w:sz w:val="18"/>
          <w:szCs w:val="18"/>
        </w:rPr>
        <w:t>Id.</w:t>
      </w:r>
    </w:p>
  </w:footnote>
  <w:footnote w:id="30">
    <w:p w:rsidR="00DC0D9B" w:rsidRPr="009E622F" w:rsidRDefault="00DC0D9B" w:rsidP="00610156">
      <w:pPr>
        <w:pStyle w:val="FootnoteText"/>
        <w:rPr>
          <w:rFonts w:ascii="Century Schoolbook" w:hAnsi="Century Schoolbook"/>
          <w:sz w:val="18"/>
          <w:szCs w:val="18"/>
        </w:rPr>
      </w:pPr>
      <w:r w:rsidRPr="009E622F">
        <w:rPr>
          <w:rStyle w:val="FootnoteReference"/>
          <w:rFonts w:ascii="Century Schoolbook" w:hAnsi="Century Schoolbook"/>
          <w:sz w:val="18"/>
          <w:szCs w:val="18"/>
        </w:rPr>
        <w:footnoteRef/>
      </w:r>
      <w:r w:rsidRPr="009E622F">
        <w:rPr>
          <w:rFonts w:ascii="Century Schoolbook" w:hAnsi="Century Schoolbook"/>
          <w:sz w:val="18"/>
          <w:szCs w:val="18"/>
        </w:rPr>
        <w:t xml:space="preserve"> </w:t>
      </w:r>
      <w:r w:rsidRPr="009E622F">
        <w:rPr>
          <w:rFonts w:ascii="Century Schoolbook" w:hAnsi="Century Schoolbook"/>
          <w:color w:val="000000" w:themeColor="text1"/>
          <w:sz w:val="18"/>
          <w:szCs w:val="18"/>
        </w:rPr>
        <w:t xml:space="preserve">Fallon et al., </w:t>
      </w:r>
      <w:r w:rsidRPr="009E622F">
        <w:rPr>
          <w:rFonts w:ascii="Century Schoolbook" w:hAnsi="Century Schoolbook"/>
          <w:i/>
          <w:color w:val="000000" w:themeColor="text1"/>
          <w:sz w:val="18"/>
          <w:szCs w:val="18"/>
        </w:rPr>
        <w:t xml:space="preserve">supra </w:t>
      </w:r>
      <w:r w:rsidRPr="009E622F">
        <w:rPr>
          <w:rFonts w:ascii="Century Schoolbook" w:hAnsi="Century Schoolbook"/>
          <w:color w:val="000000" w:themeColor="text1"/>
          <w:sz w:val="18"/>
          <w:szCs w:val="18"/>
        </w:rPr>
        <w:t xml:space="preserve">note </w:t>
      </w:r>
      <w:r w:rsidRPr="009E622F">
        <w:rPr>
          <w:rFonts w:ascii="Century Schoolbook" w:hAnsi="Century Schoolbook"/>
          <w:color w:val="000000" w:themeColor="text1"/>
          <w:sz w:val="18"/>
          <w:szCs w:val="18"/>
        </w:rPr>
        <w:fldChar w:fldCharType="begin"/>
      </w:r>
      <w:r w:rsidRPr="009E622F">
        <w:rPr>
          <w:rFonts w:ascii="Century Schoolbook" w:hAnsi="Century Schoolbook"/>
          <w:color w:val="000000" w:themeColor="text1"/>
          <w:sz w:val="18"/>
          <w:szCs w:val="18"/>
        </w:rPr>
        <w:instrText xml:space="preserve"> NOTEREF _Ref507221004 \h </w:instrText>
      </w:r>
      <w:r w:rsidR="009E622F">
        <w:rPr>
          <w:rFonts w:ascii="Century Schoolbook" w:hAnsi="Century Schoolbook"/>
          <w:color w:val="000000" w:themeColor="text1"/>
          <w:sz w:val="18"/>
          <w:szCs w:val="18"/>
        </w:rPr>
        <w:instrText xml:space="preserve"> \* MERGEFORMAT </w:instrText>
      </w:r>
      <w:r w:rsidRPr="009E622F">
        <w:rPr>
          <w:rFonts w:ascii="Century Schoolbook" w:hAnsi="Century Schoolbook"/>
          <w:color w:val="000000" w:themeColor="text1"/>
          <w:sz w:val="18"/>
          <w:szCs w:val="18"/>
        </w:rPr>
      </w:r>
      <w:r w:rsidRPr="009E622F">
        <w:rPr>
          <w:rFonts w:ascii="Century Schoolbook" w:hAnsi="Century Schoolbook"/>
          <w:color w:val="000000" w:themeColor="text1"/>
          <w:sz w:val="18"/>
          <w:szCs w:val="18"/>
        </w:rPr>
        <w:fldChar w:fldCharType="separate"/>
      </w:r>
      <w:r w:rsidRPr="009E622F">
        <w:rPr>
          <w:rFonts w:ascii="Century Schoolbook" w:hAnsi="Century Schoolbook"/>
          <w:color w:val="000000" w:themeColor="text1"/>
          <w:sz w:val="18"/>
          <w:szCs w:val="18"/>
        </w:rPr>
        <w:t>10</w:t>
      </w:r>
      <w:r w:rsidRPr="009E622F">
        <w:rPr>
          <w:rFonts w:ascii="Century Schoolbook" w:hAnsi="Century Schoolbook"/>
          <w:color w:val="000000" w:themeColor="text1"/>
          <w:sz w:val="18"/>
          <w:szCs w:val="18"/>
        </w:rPr>
        <w:fldChar w:fldCharType="end"/>
      </w:r>
      <w:r w:rsidRPr="009E622F">
        <w:rPr>
          <w:rFonts w:ascii="Century Schoolbook" w:hAnsi="Century Schoolbook"/>
          <w:color w:val="000000" w:themeColor="text1"/>
          <w:sz w:val="18"/>
          <w:szCs w:val="18"/>
        </w:rPr>
        <w:t>, at 2350.</w:t>
      </w:r>
    </w:p>
  </w:footnote>
  <w:footnote w:id="31">
    <w:p w:rsidR="00DC0D9B" w:rsidRPr="009E622F" w:rsidRDefault="00DC0D9B" w:rsidP="00610156">
      <w:pPr>
        <w:pStyle w:val="FootnoteText"/>
        <w:jc w:val="both"/>
        <w:rPr>
          <w:rFonts w:ascii="Century Schoolbook" w:hAnsi="Century Schoolbook"/>
          <w:sz w:val="18"/>
          <w:szCs w:val="18"/>
        </w:rPr>
      </w:pPr>
      <w:r w:rsidRPr="009E622F">
        <w:rPr>
          <w:rStyle w:val="FootnoteReference"/>
          <w:rFonts w:ascii="Century Schoolbook" w:hAnsi="Century Schoolbook"/>
          <w:sz w:val="18"/>
          <w:szCs w:val="18"/>
        </w:rPr>
        <w:footnoteRef/>
      </w:r>
      <w:r w:rsidRPr="009E622F">
        <w:rPr>
          <w:rFonts w:ascii="Century Schoolbook" w:hAnsi="Century Schoolbook"/>
          <w:sz w:val="18"/>
          <w:szCs w:val="18"/>
        </w:rPr>
        <w:t xml:space="preserve"> </w:t>
      </w:r>
      <w:r w:rsidRPr="009E622F">
        <w:rPr>
          <w:rFonts w:ascii="Century Schoolbook" w:hAnsi="Century Schoolbook"/>
          <w:i/>
          <w:color w:val="000000" w:themeColor="text1"/>
          <w:sz w:val="18"/>
          <w:szCs w:val="18"/>
        </w:rPr>
        <w:t>Id</w:t>
      </w:r>
      <w:r w:rsidRPr="009E622F">
        <w:rPr>
          <w:rFonts w:ascii="Century Schoolbook" w:hAnsi="Century Schoolbook"/>
          <w:color w:val="000000" w:themeColor="text1"/>
          <w:sz w:val="18"/>
          <w:szCs w:val="18"/>
        </w:rPr>
        <w:t>. at 2364.</w:t>
      </w:r>
    </w:p>
  </w:footnote>
  <w:footnote w:id="32">
    <w:p w:rsidR="00DC0D9B" w:rsidRPr="009E622F" w:rsidRDefault="00DC0D9B" w:rsidP="00610156">
      <w:pPr>
        <w:pStyle w:val="FootnoteText"/>
        <w:jc w:val="both"/>
        <w:rPr>
          <w:rFonts w:ascii="Century Schoolbook" w:hAnsi="Century Schoolbook"/>
          <w:sz w:val="18"/>
          <w:szCs w:val="18"/>
        </w:rPr>
      </w:pPr>
      <w:r w:rsidRPr="009E622F">
        <w:rPr>
          <w:rStyle w:val="FootnoteReference"/>
          <w:rFonts w:ascii="Century Schoolbook" w:hAnsi="Century Schoolbook"/>
          <w:sz w:val="18"/>
          <w:szCs w:val="18"/>
        </w:rPr>
        <w:footnoteRef/>
      </w:r>
      <w:r w:rsidRPr="009E622F">
        <w:rPr>
          <w:rFonts w:ascii="Century Schoolbook" w:hAnsi="Century Schoolbook"/>
          <w:sz w:val="18"/>
          <w:szCs w:val="18"/>
        </w:rPr>
        <w:t xml:space="preserve"> </w:t>
      </w:r>
      <w:r w:rsidRPr="009E622F">
        <w:rPr>
          <w:rFonts w:ascii="Century Schoolbook" w:hAnsi="Century Schoolbook"/>
          <w:i/>
          <w:color w:val="000000" w:themeColor="text1"/>
          <w:sz w:val="18"/>
          <w:szCs w:val="18"/>
        </w:rPr>
        <w:t>In re Yasmin &amp; Yaz</w:t>
      </w:r>
      <w:r w:rsidRPr="009E622F">
        <w:rPr>
          <w:rFonts w:ascii="Century Schoolbook" w:hAnsi="Century Schoolbook"/>
          <w:color w:val="000000" w:themeColor="text1"/>
          <w:sz w:val="18"/>
          <w:szCs w:val="18"/>
        </w:rPr>
        <w:t>, 2010 U.S. Dist. LEXIS 108107, at *7 (S.D. Ill. Oct. 1, 2010).</w:t>
      </w:r>
    </w:p>
  </w:footnote>
  <w:footnote w:id="33">
    <w:p w:rsidR="00DC0D9B" w:rsidRPr="009E622F" w:rsidRDefault="00DC0D9B" w:rsidP="00610156">
      <w:pPr>
        <w:pStyle w:val="FootnoteText"/>
        <w:jc w:val="both"/>
        <w:rPr>
          <w:rFonts w:ascii="Century Schoolbook" w:hAnsi="Century Schoolbook"/>
          <w:sz w:val="18"/>
          <w:szCs w:val="18"/>
        </w:rPr>
      </w:pPr>
      <w:r w:rsidRPr="009E622F">
        <w:rPr>
          <w:rStyle w:val="FootnoteReference"/>
          <w:rFonts w:ascii="Century Schoolbook" w:hAnsi="Century Schoolbook"/>
          <w:sz w:val="18"/>
          <w:szCs w:val="18"/>
        </w:rPr>
        <w:footnoteRef/>
      </w:r>
      <w:r w:rsidRPr="009E622F">
        <w:rPr>
          <w:rFonts w:ascii="Century Schoolbook" w:hAnsi="Century Schoolbook"/>
          <w:sz w:val="18"/>
          <w:szCs w:val="18"/>
        </w:rPr>
        <w:t xml:space="preserve"> </w:t>
      </w:r>
      <w:r w:rsidRPr="009E622F">
        <w:rPr>
          <w:rFonts w:ascii="Century Schoolbook" w:hAnsi="Century Schoolbook"/>
          <w:smallCaps/>
          <w:color w:val="000000" w:themeColor="text1"/>
          <w:sz w:val="18"/>
          <w:szCs w:val="18"/>
        </w:rPr>
        <w:t>Coordinating Multijurisdiction Litigation</w:t>
      </w:r>
      <w:r w:rsidRPr="009E622F">
        <w:rPr>
          <w:rFonts w:ascii="Century Schoolbook" w:hAnsi="Century Schoolbook"/>
          <w:sz w:val="18"/>
          <w:szCs w:val="18"/>
        </w:rPr>
        <w:t xml:space="preserve">, </w:t>
      </w:r>
      <w:r w:rsidRPr="009E622F">
        <w:rPr>
          <w:rFonts w:ascii="Century Schoolbook" w:hAnsi="Century Schoolbook"/>
          <w:i/>
          <w:sz w:val="18"/>
          <w:szCs w:val="18"/>
        </w:rPr>
        <w:t xml:space="preserve">supra </w:t>
      </w:r>
      <w:r w:rsidRPr="009E622F">
        <w:rPr>
          <w:rFonts w:ascii="Century Schoolbook" w:hAnsi="Century Schoolbook"/>
          <w:sz w:val="18"/>
          <w:szCs w:val="18"/>
        </w:rPr>
        <w:t xml:space="preserve">note </w:t>
      </w:r>
      <w:r w:rsidRPr="009E622F">
        <w:rPr>
          <w:rFonts w:ascii="Century Schoolbook" w:hAnsi="Century Schoolbook"/>
          <w:sz w:val="18"/>
          <w:szCs w:val="18"/>
        </w:rPr>
        <w:fldChar w:fldCharType="begin"/>
      </w:r>
      <w:r w:rsidRPr="009E622F">
        <w:rPr>
          <w:rFonts w:ascii="Century Schoolbook" w:hAnsi="Century Schoolbook"/>
          <w:sz w:val="18"/>
          <w:szCs w:val="18"/>
        </w:rPr>
        <w:instrText xml:space="preserve"> NOTEREF _Ref507221110 \h  \* MERGEFORMAT </w:instrText>
      </w:r>
      <w:r w:rsidRPr="009E622F">
        <w:rPr>
          <w:rFonts w:ascii="Century Schoolbook" w:hAnsi="Century Schoolbook"/>
          <w:sz w:val="18"/>
          <w:szCs w:val="18"/>
        </w:rPr>
      </w:r>
      <w:r w:rsidRPr="009E622F">
        <w:rPr>
          <w:rFonts w:ascii="Century Schoolbook" w:hAnsi="Century Schoolbook"/>
          <w:sz w:val="18"/>
          <w:szCs w:val="18"/>
        </w:rPr>
        <w:fldChar w:fldCharType="separate"/>
      </w:r>
      <w:r w:rsidRPr="009E622F">
        <w:rPr>
          <w:rFonts w:ascii="Century Schoolbook" w:hAnsi="Century Schoolbook"/>
          <w:sz w:val="18"/>
          <w:szCs w:val="18"/>
        </w:rPr>
        <w:t>27</w:t>
      </w:r>
      <w:r w:rsidRPr="009E622F">
        <w:rPr>
          <w:rFonts w:ascii="Century Schoolbook" w:hAnsi="Century Schoolbook"/>
          <w:sz w:val="18"/>
          <w:szCs w:val="18"/>
        </w:rPr>
        <w:fldChar w:fldCharType="end"/>
      </w:r>
      <w:r w:rsidRPr="009E622F">
        <w:rPr>
          <w:rFonts w:ascii="Century Schoolbook" w:hAnsi="Century Schoolbook"/>
          <w:sz w:val="18"/>
          <w:szCs w:val="18"/>
        </w:rPr>
        <w:t>, at 12 (“Allowing attorneys complete freedom to choose bellwethers is unlikely to produce a representative set of verdicts that will assist the parties in reaching global settlement.”).</w:t>
      </w:r>
    </w:p>
  </w:footnote>
  <w:footnote w:id="34">
    <w:p w:rsidR="00DC0D9B" w:rsidRPr="009E622F" w:rsidRDefault="00DC0D9B" w:rsidP="00610156">
      <w:pPr>
        <w:spacing w:before="73"/>
        <w:ind w:left="1" w:hanging="1"/>
        <w:rPr>
          <w:rFonts w:ascii="Century Schoolbook" w:hAnsi="Century Schoolbook"/>
          <w:sz w:val="18"/>
          <w:szCs w:val="18"/>
        </w:rPr>
      </w:pPr>
      <w:r w:rsidRPr="009E622F">
        <w:rPr>
          <w:rStyle w:val="FootnoteReference"/>
          <w:rFonts w:ascii="Century Schoolbook" w:hAnsi="Century Schoolbook"/>
          <w:sz w:val="18"/>
          <w:szCs w:val="18"/>
        </w:rPr>
        <w:footnoteRef/>
      </w:r>
      <w:r w:rsidRPr="009E622F">
        <w:rPr>
          <w:rFonts w:ascii="Century Schoolbook" w:hAnsi="Century Schoolbook"/>
          <w:sz w:val="18"/>
          <w:szCs w:val="18"/>
        </w:rPr>
        <w:t xml:space="preserve"> </w:t>
      </w:r>
      <w:r w:rsidRPr="009E622F">
        <w:rPr>
          <w:rFonts w:ascii="Century Schoolbook" w:hAnsi="Century Schoolbook"/>
          <w:i/>
          <w:color w:val="000000" w:themeColor="text1"/>
          <w:sz w:val="18"/>
          <w:szCs w:val="18"/>
        </w:rPr>
        <w:t>See In re Levaquin Prods. Liab. Litig</w:t>
      </w:r>
      <w:r w:rsidRPr="009E622F">
        <w:rPr>
          <w:rFonts w:ascii="Century Schoolbook" w:hAnsi="Century Schoolbook"/>
          <w:color w:val="000000" w:themeColor="text1"/>
          <w:sz w:val="18"/>
          <w:szCs w:val="18"/>
        </w:rPr>
        <w:t xml:space="preserve">., No. 08-1943, 2009 U.S. Dist. LEXIS 116344, at *9–11 (D. Minn. Dec. 14, 2009) (internal quotation marks and citations omitted); </w:t>
      </w:r>
      <w:r w:rsidRPr="009E622F">
        <w:rPr>
          <w:rFonts w:ascii="Century Schoolbook" w:hAnsi="Century Schoolbook"/>
          <w:i/>
          <w:color w:val="000000" w:themeColor="text1"/>
          <w:sz w:val="18"/>
          <w:szCs w:val="18"/>
        </w:rPr>
        <w:t xml:space="preserve">see also </w:t>
      </w:r>
      <w:r w:rsidRPr="009E622F">
        <w:rPr>
          <w:rFonts w:ascii="Century Schoolbook" w:hAnsi="Century Schoolbook"/>
          <w:color w:val="000000" w:themeColor="text1"/>
          <w:sz w:val="18"/>
          <w:szCs w:val="18"/>
        </w:rPr>
        <w:t xml:space="preserve">Pretrial Order # 71 at 2, </w:t>
      </w:r>
      <w:r w:rsidRPr="009E622F">
        <w:rPr>
          <w:rFonts w:ascii="Century Schoolbook" w:hAnsi="Century Schoolbook"/>
          <w:i/>
          <w:color w:val="000000" w:themeColor="text1"/>
          <w:sz w:val="18"/>
          <w:szCs w:val="18"/>
        </w:rPr>
        <w:t>In re C.R. Bard Inc., Pelvic Repair Sys. Prods. Liab. Litig</w:t>
      </w:r>
      <w:r w:rsidRPr="009E622F">
        <w:rPr>
          <w:rFonts w:ascii="Century Schoolbook" w:hAnsi="Century Schoolbook"/>
          <w:color w:val="000000" w:themeColor="text1"/>
          <w:sz w:val="18"/>
          <w:szCs w:val="18"/>
        </w:rPr>
        <w:t>., MDL No. 2187 (S.D. W. Va. Mar. 7, 2013) (denying plaintiffs’ motion to consolidate three plaintiffs’ cases or, in the alternative, “seat three juries in a single trial but deliberate separately and</w:t>
      </w:r>
      <w:r w:rsidRPr="009E622F">
        <w:rPr>
          <w:rFonts w:ascii="Century Schoolbook" w:hAnsi="Century Schoolbook"/>
          <w:color w:val="000000" w:themeColor="text1"/>
          <w:spacing w:val="32"/>
          <w:sz w:val="18"/>
          <w:szCs w:val="18"/>
        </w:rPr>
        <w:t xml:space="preserve"> </w:t>
      </w:r>
      <w:r w:rsidRPr="009E622F">
        <w:rPr>
          <w:rFonts w:ascii="Century Schoolbook" w:hAnsi="Century Schoolbook"/>
          <w:color w:val="000000" w:themeColor="text1"/>
          <w:sz w:val="18"/>
          <w:szCs w:val="18"/>
        </w:rPr>
        <w:t>render</w:t>
      </w:r>
      <w:r w:rsidRPr="009E622F">
        <w:rPr>
          <w:rFonts w:ascii="Century Schoolbook" w:hAnsi="Century Schoolbook"/>
          <w:color w:val="000000" w:themeColor="text1"/>
          <w:spacing w:val="32"/>
          <w:sz w:val="18"/>
          <w:szCs w:val="18"/>
        </w:rPr>
        <w:t xml:space="preserve"> </w:t>
      </w:r>
      <w:r w:rsidRPr="009E622F">
        <w:rPr>
          <w:rFonts w:ascii="Century Schoolbook" w:hAnsi="Century Schoolbook"/>
          <w:color w:val="000000" w:themeColor="text1"/>
          <w:sz w:val="18"/>
          <w:szCs w:val="18"/>
        </w:rPr>
        <w:t>separate</w:t>
      </w:r>
      <w:r w:rsidRPr="009E622F">
        <w:rPr>
          <w:rFonts w:ascii="Century Schoolbook" w:hAnsi="Century Schoolbook"/>
          <w:color w:val="000000" w:themeColor="text1"/>
          <w:spacing w:val="32"/>
          <w:sz w:val="18"/>
          <w:szCs w:val="18"/>
        </w:rPr>
        <w:t xml:space="preserve"> </w:t>
      </w:r>
      <w:r w:rsidRPr="009E622F">
        <w:rPr>
          <w:rFonts w:ascii="Century Schoolbook" w:hAnsi="Century Schoolbook"/>
          <w:color w:val="000000" w:themeColor="text1"/>
          <w:sz w:val="18"/>
          <w:szCs w:val="18"/>
        </w:rPr>
        <w:t>verdicts”</w:t>
      </w:r>
      <w:r w:rsidRPr="009E622F">
        <w:rPr>
          <w:rFonts w:ascii="Century Schoolbook" w:hAnsi="Century Schoolbook"/>
          <w:color w:val="000000" w:themeColor="text1"/>
          <w:spacing w:val="32"/>
          <w:sz w:val="18"/>
          <w:szCs w:val="18"/>
        </w:rPr>
        <w:t xml:space="preserve"> </w:t>
      </w:r>
      <w:r w:rsidRPr="009E622F">
        <w:rPr>
          <w:rFonts w:ascii="Century Schoolbook" w:hAnsi="Century Schoolbook"/>
          <w:color w:val="000000" w:themeColor="text1"/>
          <w:sz w:val="18"/>
          <w:szCs w:val="18"/>
        </w:rPr>
        <w:t>as</w:t>
      </w:r>
      <w:r w:rsidRPr="009E622F">
        <w:rPr>
          <w:rFonts w:ascii="Century Schoolbook" w:hAnsi="Century Schoolbook"/>
          <w:color w:val="000000" w:themeColor="text1"/>
          <w:spacing w:val="32"/>
          <w:sz w:val="18"/>
          <w:szCs w:val="18"/>
        </w:rPr>
        <w:t xml:space="preserve"> </w:t>
      </w:r>
      <w:r w:rsidRPr="009E622F">
        <w:rPr>
          <w:rFonts w:ascii="Century Schoolbook" w:hAnsi="Century Schoolbook"/>
          <w:color w:val="000000" w:themeColor="text1"/>
          <w:sz w:val="18"/>
          <w:szCs w:val="18"/>
        </w:rPr>
        <w:t>the</w:t>
      </w:r>
      <w:r w:rsidRPr="009E622F">
        <w:rPr>
          <w:rFonts w:ascii="Century Schoolbook" w:hAnsi="Century Schoolbook"/>
          <w:color w:val="000000" w:themeColor="text1"/>
          <w:spacing w:val="32"/>
          <w:sz w:val="18"/>
          <w:szCs w:val="18"/>
        </w:rPr>
        <w:t xml:space="preserve"> </w:t>
      </w:r>
      <w:r w:rsidRPr="009E622F">
        <w:rPr>
          <w:rFonts w:ascii="Century Schoolbook" w:hAnsi="Century Schoolbook"/>
          <w:color w:val="000000" w:themeColor="text1"/>
          <w:sz w:val="18"/>
          <w:szCs w:val="18"/>
        </w:rPr>
        <w:t>first</w:t>
      </w:r>
      <w:r w:rsidRPr="009E622F">
        <w:rPr>
          <w:rFonts w:ascii="Century Schoolbook" w:hAnsi="Century Schoolbook"/>
          <w:color w:val="000000" w:themeColor="text1"/>
          <w:spacing w:val="32"/>
          <w:sz w:val="18"/>
          <w:szCs w:val="18"/>
        </w:rPr>
        <w:t xml:space="preserve"> </w:t>
      </w:r>
      <w:r w:rsidRPr="009E622F">
        <w:rPr>
          <w:rFonts w:ascii="Century Schoolbook" w:hAnsi="Century Schoolbook"/>
          <w:color w:val="000000" w:themeColor="text1"/>
          <w:sz w:val="18"/>
          <w:szCs w:val="18"/>
        </w:rPr>
        <w:t>bellwether</w:t>
      </w:r>
      <w:r w:rsidRPr="009E622F">
        <w:rPr>
          <w:rFonts w:ascii="Century Schoolbook" w:hAnsi="Century Schoolbook"/>
          <w:color w:val="000000" w:themeColor="text1"/>
          <w:spacing w:val="32"/>
          <w:sz w:val="18"/>
          <w:szCs w:val="18"/>
        </w:rPr>
        <w:t xml:space="preserve"> </w:t>
      </w:r>
      <w:r w:rsidRPr="009E622F">
        <w:rPr>
          <w:rFonts w:ascii="Century Schoolbook" w:hAnsi="Century Schoolbook"/>
          <w:color w:val="000000" w:themeColor="text1"/>
          <w:sz w:val="18"/>
          <w:szCs w:val="18"/>
        </w:rPr>
        <w:t>trial</w:t>
      </w:r>
      <w:r w:rsidRPr="009E622F">
        <w:rPr>
          <w:rFonts w:ascii="Century Schoolbook" w:hAnsi="Century Schoolbook"/>
          <w:color w:val="000000" w:themeColor="text1"/>
          <w:spacing w:val="32"/>
          <w:sz w:val="18"/>
          <w:szCs w:val="18"/>
        </w:rPr>
        <w:t xml:space="preserve"> </w:t>
      </w:r>
      <w:r w:rsidRPr="009E622F">
        <w:rPr>
          <w:rFonts w:ascii="Century Schoolbook" w:hAnsi="Century Schoolbook"/>
          <w:color w:val="000000" w:themeColor="text1"/>
          <w:sz w:val="18"/>
          <w:szCs w:val="18"/>
        </w:rPr>
        <w:t>in</w:t>
      </w:r>
      <w:r w:rsidRPr="009E622F">
        <w:rPr>
          <w:rFonts w:ascii="Century Schoolbook" w:hAnsi="Century Schoolbook"/>
          <w:color w:val="000000" w:themeColor="text1"/>
          <w:spacing w:val="33"/>
          <w:sz w:val="18"/>
          <w:szCs w:val="18"/>
        </w:rPr>
        <w:t xml:space="preserve"> </w:t>
      </w:r>
      <w:r w:rsidRPr="009E622F">
        <w:rPr>
          <w:rFonts w:ascii="Century Schoolbook" w:hAnsi="Century Schoolbook"/>
          <w:color w:val="000000" w:themeColor="text1"/>
          <w:sz w:val="18"/>
          <w:szCs w:val="18"/>
        </w:rPr>
        <w:t>product-liability</w:t>
      </w:r>
      <w:r w:rsidRPr="009E622F">
        <w:rPr>
          <w:rFonts w:ascii="Century Schoolbook" w:hAnsi="Century Schoolbook"/>
          <w:color w:val="000000" w:themeColor="text1"/>
          <w:spacing w:val="32"/>
          <w:sz w:val="18"/>
          <w:szCs w:val="18"/>
        </w:rPr>
        <w:t xml:space="preserve"> </w:t>
      </w:r>
      <w:r w:rsidRPr="009E622F">
        <w:rPr>
          <w:rFonts w:ascii="Century Schoolbook" w:hAnsi="Century Schoolbook"/>
          <w:color w:val="000000" w:themeColor="text1"/>
          <w:sz w:val="18"/>
          <w:szCs w:val="18"/>
        </w:rPr>
        <w:t>litigation</w:t>
      </w:r>
      <w:r w:rsidRPr="009E622F">
        <w:rPr>
          <w:rFonts w:ascii="Century Schoolbook" w:hAnsi="Century Schoolbook"/>
          <w:color w:val="000000" w:themeColor="text1"/>
          <w:spacing w:val="33"/>
          <w:sz w:val="18"/>
          <w:szCs w:val="18"/>
        </w:rPr>
        <w:t xml:space="preserve"> </w:t>
      </w:r>
      <w:r w:rsidRPr="009E622F">
        <w:rPr>
          <w:rFonts w:ascii="Century Schoolbook" w:hAnsi="Century Schoolbook"/>
          <w:color w:val="000000" w:themeColor="text1"/>
          <w:sz w:val="18"/>
          <w:szCs w:val="18"/>
        </w:rPr>
        <w:t>involving</w:t>
      </w:r>
      <w:r w:rsidRPr="009E622F">
        <w:rPr>
          <w:rFonts w:ascii="Century Schoolbook" w:hAnsi="Century Schoolbook"/>
          <w:color w:val="000000" w:themeColor="text1"/>
          <w:spacing w:val="32"/>
          <w:sz w:val="18"/>
          <w:szCs w:val="18"/>
        </w:rPr>
        <w:t xml:space="preserve"> </w:t>
      </w:r>
      <w:r w:rsidRPr="009E622F">
        <w:rPr>
          <w:rFonts w:ascii="Century Schoolbook" w:hAnsi="Century Schoolbook"/>
          <w:color w:val="000000" w:themeColor="text1"/>
          <w:sz w:val="18"/>
          <w:szCs w:val="18"/>
        </w:rPr>
        <w:t>pelvic</w:t>
      </w:r>
      <w:r w:rsidRPr="009E622F">
        <w:rPr>
          <w:rFonts w:ascii="Century Schoolbook" w:hAnsi="Century Schoolbook"/>
          <w:color w:val="000000" w:themeColor="text1"/>
          <w:spacing w:val="32"/>
          <w:sz w:val="18"/>
          <w:szCs w:val="18"/>
        </w:rPr>
        <w:t xml:space="preserve"> </w:t>
      </w:r>
      <w:r w:rsidRPr="009E622F">
        <w:rPr>
          <w:rFonts w:ascii="Century Schoolbook" w:hAnsi="Century Schoolbook"/>
          <w:color w:val="000000" w:themeColor="text1"/>
          <w:sz w:val="18"/>
          <w:szCs w:val="18"/>
        </w:rPr>
        <w:t xml:space="preserve">implant surgery); </w:t>
      </w:r>
      <w:r w:rsidRPr="009E622F">
        <w:rPr>
          <w:rFonts w:ascii="Century Schoolbook" w:hAnsi="Century Schoolbook"/>
          <w:i/>
          <w:color w:val="000000" w:themeColor="text1"/>
          <w:sz w:val="18"/>
          <w:szCs w:val="18"/>
        </w:rPr>
        <w:t>In re Hydroxycut Mktg. &amp; Sales Practices Litig</w:t>
      </w:r>
      <w:r w:rsidRPr="009E622F">
        <w:rPr>
          <w:rFonts w:ascii="Century Schoolbook" w:hAnsi="Century Schoolbook"/>
          <w:color w:val="000000" w:themeColor="text1"/>
          <w:sz w:val="18"/>
          <w:szCs w:val="18"/>
        </w:rPr>
        <w:t xml:space="preserve">., No. 3:09-md-2087-BTM(KSC), 2012 U.S. Dist. LEXIS 93282, at *50–52 (S.D. Cal. June 28, 2012) (“The selection of </w:t>
      </w:r>
      <w:r w:rsidRPr="009E622F">
        <w:rPr>
          <w:rFonts w:ascii="Century Schoolbook" w:hAnsi="Century Schoolbook"/>
          <w:b/>
          <w:i/>
          <w:color w:val="000000" w:themeColor="text1"/>
          <w:sz w:val="18"/>
          <w:szCs w:val="18"/>
        </w:rPr>
        <w:t xml:space="preserve">individual </w:t>
      </w:r>
      <w:r w:rsidRPr="009E622F">
        <w:rPr>
          <w:rFonts w:ascii="Century Schoolbook" w:hAnsi="Century Schoolbook"/>
          <w:color w:val="000000" w:themeColor="text1"/>
          <w:sz w:val="18"/>
          <w:szCs w:val="18"/>
        </w:rPr>
        <w:t xml:space="preserve">plaintiffs by the parties with oversight from the court is similar to approaches taken by other courts in designating representative bellwether cases for trial.”) (emphasis added); </w:t>
      </w:r>
      <w:r w:rsidRPr="009E622F">
        <w:rPr>
          <w:rFonts w:ascii="Century Schoolbook" w:hAnsi="Century Schoolbook"/>
          <w:i/>
          <w:color w:val="000000" w:themeColor="text1"/>
          <w:sz w:val="18"/>
          <w:szCs w:val="18"/>
        </w:rPr>
        <w:t xml:space="preserve">In re </w:t>
      </w:r>
      <w:r w:rsidRPr="009E622F">
        <w:rPr>
          <w:rFonts w:ascii="Century Schoolbook" w:hAnsi="Century Schoolbook"/>
          <w:color w:val="000000" w:themeColor="text1"/>
          <w:sz w:val="18"/>
          <w:szCs w:val="18"/>
        </w:rPr>
        <w:t xml:space="preserve">Yasmin &amp; Yaz, 2010 U.S. Dist. LEXIS 108107, at *9 n.3 (providing that plaintiffs for inclusion in the bellwether pool “must be selected . . . </w:t>
      </w:r>
      <w:r w:rsidRPr="009E622F">
        <w:rPr>
          <w:rFonts w:ascii="Century Schoolbook" w:hAnsi="Century Schoolbook"/>
          <w:b/>
          <w:i/>
          <w:color w:val="000000" w:themeColor="text1"/>
          <w:sz w:val="18"/>
          <w:szCs w:val="18"/>
        </w:rPr>
        <w:t>individually</w:t>
      </w:r>
      <w:r w:rsidRPr="009E622F">
        <w:rPr>
          <w:rFonts w:ascii="Century Schoolbook" w:hAnsi="Century Schoolbook"/>
          <w:color w:val="000000" w:themeColor="text1"/>
          <w:sz w:val="18"/>
          <w:szCs w:val="18"/>
        </w:rPr>
        <w:t xml:space="preserve">”) (emphasis added); </w:t>
      </w:r>
      <w:r w:rsidRPr="009E622F">
        <w:rPr>
          <w:rFonts w:ascii="Century Schoolbook" w:hAnsi="Century Schoolbook"/>
          <w:i/>
          <w:color w:val="000000" w:themeColor="text1"/>
          <w:sz w:val="18"/>
          <w:szCs w:val="18"/>
        </w:rPr>
        <w:t>In re Vioxx Prods. Liab. Litig.</w:t>
      </w:r>
      <w:r w:rsidRPr="009E622F">
        <w:rPr>
          <w:rFonts w:ascii="Century Schoolbook" w:hAnsi="Century Schoolbook"/>
          <w:color w:val="000000" w:themeColor="text1"/>
          <w:sz w:val="18"/>
          <w:szCs w:val="18"/>
        </w:rPr>
        <w:t>, 760 F. Supp. 2d 640, 644 (E.D. La. 2010) (noting that six bellwether trials of individual plaintiffs were conducted during the course of litigation).</w:t>
      </w:r>
    </w:p>
  </w:footnote>
  <w:footnote w:id="35">
    <w:p w:rsidR="00DC0D9B" w:rsidRPr="009E622F" w:rsidRDefault="00DC0D9B">
      <w:pPr>
        <w:pStyle w:val="FootnoteText"/>
        <w:rPr>
          <w:rFonts w:ascii="Century Schoolbook" w:hAnsi="Century Schoolbook"/>
          <w:sz w:val="18"/>
          <w:szCs w:val="18"/>
        </w:rPr>
      </w:pPr>
      <w:r w:rsidRPr="009E622F">
        <w:rPr>
          <w:rStyle w:val="FootnoteReference"/>
          <w:rFonts w:ascii="Century Schoolbook" w:hAnsi="Century Schoolbook"/>
          <w:sz w:val="18"/>
          <w:szCs w:val="18"/>
        </w:rPr>
        <w:footnoteRef/>
      </w:r>
      <w:r w:rsidRPr="009E622F">
        <w:rPr>
          <w:rFonts w:ascii="Century Schoolbook" w:hAnsi="Century Schoolbook"/>
          <w:sz w:val="18"/>
          <w:szCs w:val="18"/>
        </w:rPr>
        <w:t xml:space="preserve"> Attorneys holding this view should consider conditioning </w:t>
      </w:r>
      <w:r w:rsidRPr="009E622F">
        <w:rPr>
          <w:rFonts w:ascii="Century Schoolbook" w:hAnsi="Century Schoolbook"/>
          <w:i/>
          <w:sz w:val="18"/>
          <w:szCs w:val="18"/>
        </w:rPr>
        <w:t>Lexecon</w:t>
      </w:r>
      <w:r w:rsidRPr="009E622F">
        <w:rPr>
          <w:rFonts w:ascii="Century Schoolbook" w:hAnsi="Century Schoolbook"/>
          <w:sz w:val="18"/>
          <w:szCs w:val="18"/>
        </w:rPr>
        <w:t xml:space="preserve"> waivers to preclude consolidation.</w:t>
      </w:r>
    </w:p>
  </w:footnote>
  <w:footnote w:id="36">
    <w:p w:rsidR="00DC0D9B" w:rsidRPr="009E622F" w:rsidRDefault="00DC0D9B">
      <w:pPr>
        <w:pStyle w:val="FootnoteText"/>
        <w:rPr>
          <w:rFonts w:ascii="Century Schoolbook" w:hAnsi="Century Schoolbook"/>
          <w:sz w:val="18"/>
          <w:szCs w:val="18"/>
        </w:rPr>
      </w:pPr>
      <w:r w:rsidRPr="009E622F">
        <w:rPr>
          <w:rStyle w:val="FootnoteReference"/>
          <w:rFonts w:ascii="Century Schoolbook" w:hAnsi="Century Schoolbook"/>
          <w:sz w:val="18"/>
          <w:szCs w:val="18"/>
        </w:rPr>
        <w:footnoteRef/>
      </w:r>
      <w:r w:rsidRPr="009E622F">
        <w:rPr>
          <w:rFonts w:ascii="Century Schoolbook" w:hAnsi="Century Schoolbook"/>
          <w:sz w:val="18"/>
          <w:szCs w:val="18"/>
        </w:rPr>
        <w:t xml:space="preserve"> </w:t>
      </w:r>
      <w:r w:rsidRPr="009E622F">
        <w:rPr>
          <w:rFonts w:ascii="Century Schoolbook" w:hAnsi="Century Schoolbook"/>
          <w:i/>
          <w:sz w:val="18"/>
          <w:szCs w:val="18"/>
        </w:rPr>
        <w:t>See</w:t>
      </w:r>
      <w:r w:rsidRPr="009E622F">
        <w:rPr>
          <w:rFonts w:ascii="Century Schoolbook" w:hAnsi="Century Schoolbook"/>
          <w:sz w:val="18"/>
          <w:szCs w:val="18"/>
        </w:rPr>
        <w:t xml:space="preserve">, e.g., </w:t>
      </w:r>
      <w:r w:rsidRPr="009E622F">
        <w:rPr>
          <w:rFonts w:ascii="Century Schoolbook" w:hAnsi="Century Schoolbook"/>
          <w:bCs/>
          <w:sz w:val="18"/>
          <w:szCs w:val="18"/>
        </w:rPr>
        <w:t xml:space="preserve">Order Consolidating Bellwether Cases For Trial, </w:t>
      </w:r>
      <w:r w:rsidRPr="009E622F">
        <w:rPr>
          <w:rFonts w:ascii="Century Schoolbook" w:hAnsi="Century Schoolbook"/>
          <w:i/>
          <w:sz w:val="18"/>
          <w:szCs w:val="18"/>
        </w:rPr>
        <w:t>In re:</w:t>
      </w:r>
      <w:r w:rsidRPr="009E622F">
        <w:rPr>
          <w:rFonts w:ascii="Century Schoolbook" w:hAnsi="Century Schoolbook"/>
          <w:sz w:val="18"/>
          <w:szCs w:val="18"/>
        </w:rPr>
        <w:t xml:space="preserve"> </w:t>
      </w:r>
      <w:r w:rsidRPr="009E622F">
        <w:rPr>
          <w:rFonts w:ascii="Century Schoolbook" w:hAnsi="Century Schoolbook"/>
          <w:i/>
          <w:sz w:val="18"/>
          <w:szCs w:val="18"/>
        </w:rPr>
        <w:t>DePuy Orthopaedics, Inc. Pinnacle Hip Implant Prods. Liab. Lit., MDL 2244</w:t>
      </w:r>
      <w:r w:rsidRPr="009E622F">
        <w:rPr>
          <w:rFonts w:ascii="Century Schoolbook" w:hAnsi="Century Schoolbook"/>
          <w:sz w:val="18"/>
          <w:szCs w:val="18"/>
        </w:rPr>
        <w:t xml:space="preserve">, (N.D. Tex., January 18, 2016) (consolidating five cases for bellwether trial); see also </w:t>
      </w:r>
      <w:r w:rsidRPr="009E622F">
        <w:rPr>
          <w:rFonts w:ascii="Century Schoolbook" w:hAnsi="Century Schoolbook"/>
          <w:i/>
          <w:iCs/>
          <w:sz w:val="18"/>
          <w:szCs w:val="18"/>
        </w:rPr>
        <w:t>In re Mentor Corp. Obtape Transobturator Sling Prods. Liab. Litig.</w:t>
      </w:r>
      <w:r w:rsidRPr="009E622F">
        <w:rPr>
          <w:rFonts w:ascii="Century Schoolbook" w:hAnsi="Century Schoolbook"/>
          <w:sz w:val="18"/>
          <w:szCs w:val="18"/>
        </w:rPr>
        <w:t xml:space="preserve">, No. 4:08-MD-2004, 2010 WL 797273 (M.D. Ga. Mar. 3, 2010) (finding consolidation appropriate with the significant common issues of the manufacturer’s knowledge of risks and proper curative treatment versus what was disclosed to physicians, along with other common evidence including expert testimony on “research, development, design, testing, manufacturing, quality control, and product evaluation-as well as general evidence on anatomy, biostatistics, bioengineering, the Food and Drug Administration’s 510(k) process, and [Defendant’s] corporate knowledge.”). </w:t>
      </w:r>
      <w:r w:rsidRPr="009E622F">
        <w:rPr>
          <w:rFonts w:ascii="Century Schoolbook" w:hAnsi="Century Schoolbook"/>
          <w:i/>
          <w:sz w:val="18"/>
          <w:szCs w:val="18"/>
        </w:rPr>
        <w:t>But see, In re Repetitive</w:t>
      </w:r>
      <w:r w:rsidRPr="009E622F">
        <w:rPr>
          <w:rFonts w:ascii="Century Schoolbook" w:hAnsi="Century Schoolbook"/>
          <w:sz w:val="18"/>
          <w:szCs w:val="18"/>
        </w:rPr>
        <w:t xml:space="preserve"> </w:t>
      </w:r>
      <w:r w:rsidRPr="009E622F">
        <w:rPr>
          <w:rFonts w:ascii="Century Schoolbook" w:hAnsi="Century Schoolbook"/>
          <w:i/>
          <w:sz w:val="18"/>
          <w:szCs w:val="18"/>
        </w:rPr>
        <w:t>Stress Injury Litigation</w:t>
      </w:r>
      <w:r w:rsidRPr="009E622F">
        <w:rPr>
          <w:rFonts w:ascii="Century Schoolbook" w:hAnsi="Century Schoolbook"/>
          <w:sz w:val="18"/>
          <w:szCs w:val="18"/>
        </w:rPr>
        <w:t xml:space="preserve">, 11 F.3d 368, 373-74 (2d Cir. 1993) (granting mandamus to reverse consolidation); </w:t>
      </w:r>
      <w:r w:rsidRPr="009E622F">
        <w:rPr>
          <w:rFonts w:ascii="Century Schoolbook" w:hAnsi="Century Schoolbook"/>
          <w:i/>
          <w:sz w:val="18"/>
          <w:szCs w:val="18"/>
        </w:rPr>
        <w:t>Guenther v. Novartis Pharmaceutical Corp.</w:t>
      </w:r>
      <w:r w:rsidRPr="009E622F">
        <w:rPr>
          <w:rFonts w:ascii="Century Schoolbook" w:hAnsi="Century Schoolbook"/>
          <w:sz w:val="18"/>
          <w:szCs w:val="18"/>
        </w:rPr>
        <w:t xml:space="preserve">, 2012 WL 5398219, at *2 (Mag. M.D. Fla. Oct. 12, 2012) (“[The MDL] Panel has repeatedly rejected attempts to consolidate cases for trial and has ordered multi-plaintiff case complaints be severed because the claims of individual plaintiffs were not suited for consolidation”), adopted, 2012 WL 5305995 (M.D. Fla. Oct. 29, 2012); </w:t>
      </w:r>
      <w:r w:rsidRPr="009E622F">
        <w:rPr>
          <w:rFonts w:ascii="Century Schoolbook" w:hAnsi="Century Schoolbook"/>
          <w:i/>
          <w:sz w:val="18"/>
          <w:szCs w:val="18"/>
        </w:rPr>
        <w:t>In re Levaquin Prods. Liab. Lit.</w:t>
      </w:r>
      <w:r w:rsidRPr="009E622F">
        <w:rPr>
          <w:rFonts w:ascii="Century Schoolbook" w:hAnsi="Century Schoolbook"/>
          <w:sz w:val="18"/>
          <w:szCs w:val="18"/>
        </w:rPr>
        <w:t xml:space="preserve">, 2009 WL 5030772, at *3-4 (D. Minn. Dec. 14, 2009) (three-plaintiff consolidation improper due to different prescribing physicians notwithstanding plaintiff’s promise to call “nearly twenty generic witnesses”); </w:t>
      </w:r>
      <w:r w:rsidRPr="009E622F">
        <w:rPr>
          <w:rFonts w:ascii="Century Schoolbook" w:hAnsi="Century Schoolbook"/>
          <w:i/>
          <w:sz w:val="18"/>
          <w:szCs w:val="18"/>
        </w:rPr>
        <w:t>In re Baycol Prods. Liab. Lit.</w:t>
      </w:r>
      <w:r w:rsidRPr="009E622F">
        <w:rPr>
          <w:rFonts w:ascii="Century Schoolbook" w:hAnsi="Century Schoolbook"/>
          <w:sz w:val="18"/>
          <w:szCs w:val="18"/>
        </w:rPr>
        <w:t xml:space="preserve">, 2002 WL 32155269, at *2 (D. Minn. July 5, 2002) (the “same basic set of facts” is absent where plaintiffs “went to different doctors or teams of doctors and medical facilities and providers”); </w:t>
      </w:r>
      <w:r w:rsidRPr="009E622F">
        <w:rPr>
          <w:rFonts w:ascii="Century Schoolbook" w:hAnsi="Century Schoolbook"/>
          <w:i/>
          <w:sz w:val="18"/>
          <w:szCs w:val="18"/>
        </w:rPr>
        <w:t>In re Consolidated Parlodel Litigation</w:t>
      </w:r>
      <w:r w:rsidRPr="009E622F">
        <w:rPr>
          <w:rFonts w:ascii="Century Schoolbook" w:hAnsi="Century Schoolbook"/>
          <w:sz w:val="18"/>
          <w:szCs w:val="18"/>
        </w:rPr>
        <w:t xml:space="preserve">, 182 F.R.D. 441, 447 (D.N.J. 1998) (“predominance of individual . . .causation and marketing evidence” precludes consolidation); </w:t>
      </w:r>
      <w:r w:rsidRPr="009E622F">
        <w:rPr>
          <w:rFonts w:ascii="Century Schoolbook" w:hAnsi="Century Schoolbook"/>
          <w:i/>
          <w:sz w:val="18"/>
          <w:szCs w:val="18"/>
        </w:rPr>
        <w:t>In re Diet Drugs</w:t>
      </w:r>
      <w:r w:rsidRPr="009E622F">
        <w:rPr>
          <w:rFonts w:ascii="Century Schoolbook" w:hAnsi="Century Schoolbook"/>
          <w:sz w:val="18"/>
          <w:szCs w:val="18"/>
        </w:rPr>
        <w:t>, 1999 WL 554584, at * 4 (E.D. Pa. July 16, 1999) (joinder of plaintiffs improper where “plaintiffs [had] not purchased or received diet drugs from an identical source, such as a physician, hospital or diet center”).</w:t>
      </w:r>
    </w:p>
  </w:footnote>
  <w:footnote w:id="37">
    <w:p w:rsidR="00DC0D9B" w:rsidRPr="009E622F" w:rsidRDefault="00DC0D9B" w:rsidP="00610156">
      <w:pPr>
        <w:pStyle w:val="FootnoteText"/>
        <w:rPr>
          <w:rFonts w:ascii="Century Schoolbook" w:hAnsi="Century Schoolbook"/>
          <w:sz w:val="18"/>
          <w:szCs w:val="18"/>
        </w:rPr>
      </w:pPr>
      <w:r w:rsidRPr="009E622F">
        <w:rPr>
          <w:rStyle w:val="FootnoteReference"/>
          <w:rFonts w:ascii="Century Schoolbook" w:hAnsi="Century Schoolbook"/>
          <w:sz w:val="18"/>
          <w:szCs w:val="18"/>
        </w:rPr>
        <w:footnoteRef/>
      </w:r>
      <w:r w:rsidRPr="009E622F">
        <w:rPr>
          <w:rFonts w:ascii="Century Schoolbook" w:hAnsi="Century Schoolbook"/>
          <w:sz w:val="18"/>
          <w:szCs w:val="18"/>
        </w:rPr>
        <w:t xml:space="preserve"> </w:t>
      </w:r>
      <w:r w:rsidRPr="009E622F">
        <w:rPr>
          <w:rFonts w:ascii="Century Schoolbook" w:hAnsi="Century Schoolbook"/>
          <w:color w:val="000000" w:themeColor="text1"/>
          <w:sz w:val="18"/>
          <w:szCs w:val="18"/>
        </w:rPr>
        <w:t>MCL</w:t>
      </w:r>
      <w:r w:rsidRPr="009E622F">
        <w:rPr>
          <w:rFonts w:ascii="Century Schoolbook" w:hAnsi="Century Schoolbook"/>
          <w:i/>
          <w:color w:val="000000" w:themeColor="text1"/>
          <w:sz w:val="18"/>
          <w:szCs w:val="18"/>
        </w:rPr>
        <w:t xml:space="preserve"> </w:t>
      </w:r>
      <w:r w:rsidRPr="009E622F">
        <w:rPr>
          <w:rFonts w:ascii="Century Schoolbook" w:hAnsi="Century Schoolbook"/>
          <w:color w:val="000000" w:themeColor="text1"/>
          <w:sz w:val="18"/>
          <w:szCs w:val="18"/>
        </w:rPr>
        <w:t>§ 22.83.</w:t>
      </w:r>
    </w:p>
  </w:footnote>
  <w:footnote w:id="38">
    <w:p w:rsidR="00DC0D9B" w:rsidRPr="009E622F" w:rsidRDefault="00DC0D9B" w:rsidP="00610156">
      <w:pPr>
        <w:pStyle w:val="FootnoteText"/>
        <w:rPr>
          <w:rFonts w:ascii="Century Schoolbook" w:hAnsi="Century Schoolbook"/>
          <w:sz w:val="18"/>
          <w:szCs w:val="18"/>
        </w:rPr>
      </w:pPr>
      <w:r w:rsidRPr="009E622F">
        <w:rPr>
          <w:rStyle w:val="FootnoteReference"/>
          <w:rFonts w:ascii="Century Schoolbook" w:hAnsi="Century Schoolbook"/>
          <w:sz w:val="18"/>
          <w:szCs w:val="18"/>
        </w:rPr>
        <w:footnoteRef/>
      </w:r>
      <w:r w:rsidRPr="009E622F">
        <w:rPr>
          <w:rFonts w:ascii="Century Schoolbook" w:hAnsi="Century Schoolbook"/>
          <w:sz w:val="18"/>
          <w:szCs w:val="18"/>
        </w:rPr>
        <w:t xml:space="preserve"> </w:t>
      </w:r>
      <w:r w:rsidRPr="009E622F">
        <w:rPr>
          <w:rFonts w:ascii="Century Schoolbook" w:hAnsi="Century Schoolbook"/>
          <w:smallCaps/>
          <w:color w:val="000000" w:themeColor="text1"/>
          <w:sz w:val="18"/>
          <w:szCs w:val="18"/>
        </w:rPr>
        <w:t>Coordinating Multijurisdiction Litigation</w:t>
      </w:r>
      <w:r w:rsidRPr="009E622F">
        <w:rPr>
          <w:rFonts w:ascii="Century Schoolbook" w:hAnsi="Century Schoolbook"/>
          <w:sz w:val="18"/>
          <w:szCs w:val="18"/>
        </w:rPr>
        <w:t xml:space="preserve">, </w:t>
      </w:r>
      <w:r w:rsidRPr="009E622F">
        <w:rPr>
          <w:rFonts w:ascii="Century Schoolbook" w:hAnsi="Century Schoolbook"/>
          <w:i/>
          <w:sz w:val="18"/>
          <w:szCs w:val="18"/>
        </w:rPr>
        <w:t xml:space="preserve">supra </w:t>
      </w:r>
      <w:r w:rsidRPr="009E622F">
        <w:rPr>
          <w:rFonts w:ascii="Century Schoolbook" w:hAnsi="Century Schoolbook"/>
          <w:sz w:val="18"/>
          <w:szCs w:val="18"/>
        </w:rPr>
        <w:t xml:space="preserve">note </w:t>
      </w:r>
      <w:r w:rsidRPr="009E622F">
        <w:rPr>
          <w:rFonts w:ascii="Century Schoolbook" w:hAnsi="Century Schoolbook"/>
          <w:sz w:val="18"/>
          <w:szCs w:val="18"/>
        </w:rPr>
        <w:fldChar w:fldCharType="begin"/>
      </w:r>
      <w:r w:rsidRPr="009E622F">
        <w:rPr>
          <w:rFonts w:ascii="Century Schoolbook" w:hAnsi="Century Schoolbook"/>
          <w:sz w:val="18"/>
          <w:szCs w:val="18"/>
        </w:rPr>
        <w:instrText xml:space="preserve"> NOTEREF _Ref507221110 \h  \* MERGEFORMAT </w:instrText>
      </w:r>
      <w:r w:rsidRPr="009E622F">
        <w:rPr>
          <w:rFonts w:ascii="Century Schoolbook" w:hAnsi="Century Schoolbook"/>
          <w:sz w:val="18"/>
          <w:szCs w:val="18"/>
        </w:rPr>
      </w:r>
      <w:r w:rsidRPr="009E622F">
        <w:rPr>
          <w:rFonts w:ascii="Century Schoolbook" w:hAnsi="Century Schoolbook"/>
          <w:sz w:val="18"/>
          <w:szCs w:val="18"/>
        </w:rPr>
        <w:fldChar w:fldCharType="separate"/>
      </w:r>
      <w:r w:rsidRPr="009E622F">
        <w:rPr>
          <w:rFonts w:ascii="Century Schoolbook" w:hAnsi="Century Schoolbook"/>
          <w:sz w:val="18"/>
          <w:szCs w:val="18"/>
        </w:rPr>
        <w:t>27</w:t>
      </w:r>
      <w:r w:rsidRPr="009E622F">
        <w:rPr>
          <w:rFonts w:ascii="Century Schoolbook" w:hAnsi="Century Schoolbook"/>
          <w:sz w:val="18"/>
          <w:szCs w:val="18"/>
        </w:rPr>
        <w:fldChar w:fldCharType="end"/>
      </w:r>
      <w:r w:rsidRPr="009E622F">
        <w:rPr>
          <w:rFonts w:ascii="Century Schoolbook" w:hAnsi="Century Schoolbook"/>
          <w:sz w:val="18"/>
          <w:szCs w:val="18"/>
        </w:rPr>
        <w:t xml:space="preserve">, at 12 (“Permitting plaintiffs to dismiss cases on the eve of trial also can distort the information provided by bellwether trials.”); In re </w:t>
      </w:r>
      <w:r w:rsidRPr="009E622F">
        <w:rPr>
          <w:rFonts w:ascii="Century Schoolbook" w:hAnsi="Century Schoolbook"/>
          <w:i/>
          <w:sz w:val="18"/>
          <w:szCs w:val="18"/>
        </w:rPr>
        <w:t>FEMA Trailer Formaldahyde Prods. Liab. Litig</w:t>
      </w:r>
      <w:r w:rsidRPr="009E622F">
        <w:rPr>
          <w:rFonts w:ascii="Century Schoolbook" w:hAnsi="Century Schoolbook"/>
          <w:sz w:val="18"/>
          <w:szCs w:val="18"/>
        </w:rPr>
        <w:t>., 628 F.3d 157, 163-64 (5th Cir. 2010) (discussing a party’s “manipulate[ing] the integrity of the court's bellwether process” through voluntary dismissal of selected cases).</w:t>
      </w:r>
    </w:p>
  </w:footnote>
  <w:footnote w:id="39">
    <w:p w:rsidR="00DC0D9B" w:rsidRPr="003302A1" w:rsidRDefault="00DC0D9B">
      <w:pPr>
        <w:pStyle w:val="FootnoteText"/>
      </w:pPr>
      <w:r w:rsidRPr="009E622F">
        <w:rPr>
          <w:rStyle w:val="FootnoteReference"/>
          <w:rFonts w:ascii="Century Schoolbook" w:hAnsi="Century Schoolbook"/>
          <w:sz w:val="18"/>
          <w:szCs w:val="18"/>
        </w:rPr>
        <w:footnoteRef/>
      </w:r>
      <w:r w:rsidRPr="009E622F">
        <w:rPr>
          <w:rFonts w:ascii="Century Schoolbook" w:hAnsi="Century Schoolbook"/>
          <w:sz w:val="18"/>
          <w:szCs w:val="18"/>
        </w:rPr>
        <w:t xml:space="preserve"> </w:t>
      </w:r>
      <w:r w:rsidRPr="009E622F">
        <w:rPr>
          <w:rFonts w:ascii="Century Schoolbook" w:hAnsi="Century Schoolbook"/>
          <w:i/>
          <w:sz w:val="18"/>
          <w:szCs w:val="18"/>
        </w:rPr>
        <w:t>See</w:t>
      </w:r>
      <w:r w:rsidRPr="009E622F">
        <w:rPr>
          <w:rFonts w:ascii="Century Schoolbook" w:hAnsi="Century Schoolbook"/>
          <w:sz w:val="18"/>
          <w:szCs w:val="18"/>
        </w:rPr>
        <w:t xml:space="preserve"> </w:t>
      </w:r>
      <w:r w:rsidRPr="009E622F">
        <w:rPr>
          <w:rFonts w:ascii="Century Schoolbook" w:hAnsi="Century Schoolbook"/>
          <w:i/>
          <w:sz w:val="18"/>
          <w:szCs w:val="18"/>
        </w:rPr>
        <w:t>FEMA Trailers</w:t>
      </w:r>
      <w:r w:rsidRPr="009E622F">
        <w:rPr>
          <w:rFonts w:ascii="Century Schoolbook" w:hAnsi="Century Schoolbook"/>
          <w:sz w:val="18"/>
          <w:szCs w:val="18"/>
        </w:rPr>
        <w:t>, 628 F.3d at 164 (affirming with prejudice dismissals).</w:t>
      </w:r>
    </w:p>
  </w:footnote>
  <w:footnote w:id="40">
    <w:p w:rsidR="00DC0D9B" w:rsidRPr="009E622F" w:rsidRDefault="00DC0D9B" w:rsidP="00610156">
      <w:pPr>
        <w:pStyle w:val="FootnoteText"/>
        <w:rPr>
          <w:rFonts w:ascii="Century Schoolbook" w:hAnsi="Century Schoolbook"/>
          <w:sz w:val="18"/>
          <w:szCs w:val="18"/>
        </w:rPr>
      </w:pPr>
      <w:r w:rsidRPr="009E622F">
        <w:rPr>
          <w:rStyle w:val="FootnoteReference"/>
          <w:rFonts w:ascii="Century Schoolbook" w:hAnsi="Century Schoolbook"/>
          <w:sz w:val="18"/>
          <w:szCs w:val="18"/>
        </w:rPr>
        <w:footnoteRef/>
      </w:r>
      <w:r w:rsidRPr="009E622F">
        <w:rPr>
          <w:rFonts w:ascii="Century Schoolbook" w:hAnsi="Century Schoolbook"/>
          <w:sz w:val="18"/>
          <w:szCs w:val="18"/>
        </w:rPr>
        <w:t xml:space="preserve"> </w:t>
      </w:r>
      <w:r w:rsidRPr="009E622F">
        <w:rPr>
          <w:rFonts w:ascii="Century Schoolbook" w:hAnsi="Century Schoolbook"/>
          <w:i/>
          <w:color w:val="000000" w:themeColor="text1"/>
          <w:sz w:val="18"/>
          <w:szCs w:val="18"/>
        </w:rPr>
        <w:t xml:space="preserve">See </w:t>
      </w:r>
      <w:r w:rsidRPr="009E622F">
        <w:rPr>
          <w:rFonts w:ascii="Century Schoolbook" w:hAnsi="Century Schoolbook"/>
          <w:color w:val="000000" w:themeColor="text1"/>
          <w:sz w:val="18"/>
          <w:szCs w:val="18"/>
        </w:rPr>
        <w:t xml:space="preserve">Pretrial Order No. 1 at 1–2, </w:t>
      </w:r>
      <w:r w:rsidRPr="009E622F">
        <w:rPr>
          <w:rFonts w:ascii="Century Schoolbook" w:hAnsi="Century Schoolbook"/>
          <w:i/>
          <w:color w:val="000000" w:themeColor="text1"/>
          <w:sz w:val="18"/>
          <w:szCs w:val="18"/>
        </w:rPr>
        <w:t xml:space="preserve">In re </w:t>
      </w:r>
      <w:r w:rsidRPr="009E622F">
        <w:rPr>
          <w:rFonts w:ascii="Century Schoolbook" w:hAnsi="Century Schoolbook"/>
          <w:color w:val="000000" w:themeColor="text1"/>
          <w:sz w:val="18"/>
          <w:szCs w:val="18"/>
        </w:rPr>
        <w:t>Oil Spill by the Oil Rig “Deepwater Horizon” in the Gulf of Mexico on Apr. 20, 2010</w:t>
      </w:r>
      <w:r w:rsidRPr="009E622F">
        <w:rPr>
          <w:rFonts w:ascii="Century Schoolbook" w:hAnsi="Century Schoolbook"/>
          <w:i/>
          <w:color w:val="000000" w:themeColor="text1"/>
          <w:sz w:val="18"/>
          <w:szCs w:val="18"/>
        </w:rPr>
        <w:t xml:space="preserve">, </w:t>
      </w:r>
      <w:r w:rsidRPr="009E622F">
        <w:rPr>
          <w:rFonts w:ascii="Century Schoolbook" w:hAnsi="Century Schoolbook"/>
          <w:color w:val="000000" w:themeColor="text1"/>
          <w:sz w:val="18"/>
          <w:szCs w:val="18"/>
        </w:rPr>
        <w:t>MDL No. 2179, (E.D. La. Aug. 10, 2010) (“The Court expects, indeed insists, that professionalism and courteous cooperation permeate this proceeding from now until this litigation is concluded.”).</w:t>
      </w:r>
    </w:p>
  </w:footnote>
  <w:footnote w:id="41">
    <w:p w:rsidR="00DC0D9B" w:rsidRPr="009E622F" w:rsidRDefault="00DC0D9B" w:rsidP="00610156">
      <w:pPr>
        <w:pStyle w:val="FootnoteText"/>
        <w:rPr>
          <w:rFonts w:ascii="Century Schoolbook" w:hAnsi="Century Schoolbook"/>
          <w:sz w:val="18"/>
          <w:szCs w:val="18"/>
        </w:rPr>
      </w:pPr>
      <w:r w:rsidRPr="009E622F">
        <w:rPr>
          <w:rStyle w:val="FootnoteReference"/>
          <w:rFonts w:ascii="Century Schoolbook" w:hAnsi="Century Schoolbook"/>
          <w:sz w:val="18"/>
          <w:szCs w:val="18"/>
        </w:rPr>
        <w:footnoteRef/>
      </w:r>
      <w:r w:rsidRPr="009E622F">
        <w:rPr>
          <w:rFonts w:ascii="Century Schoolbook" w:hAnsi="Century Schoolbook"/>
          <w:sz w:val="18"/>
          <w:szCs w:val="18"/>
        </w:rPr>
        <w:t xml:space="preserve"> </w:t>
      </w:r>
      <w:r w:rsidRPr="009E622F">
        <w:rPr>
          <w:rFonts w:ascii="Century Schoolbook" w:hAnsi="Century Schoolbook"/>
          <w:i/>
          <w:sz w:val="18"/>
          <w:szCs w:val="18"/>
        </w:rPr>
        <w:t xml:space="preserve">See infra </w:t>
      </w:r>
      <w:r w:rsidRPr="009E622F">
        <w:rPr>
          <w:rFonts w:ascii="Century Schoolbook" w:hAnsi="Century Schoolbook"/>
          <w:smallCaps/>
          <w:sz w:val="18"/>
          <w:szCs w:val="18"/>
        </w:rPr>
        <w:t>Best Practices 18B–18B(</w:t>
      </w:r>
      <w:r w:rsidRPr="009E622F">
        <w:rPr>
          <w:rFonts w:ascii="Century Schoolbook" w:hAnsi="Century Schoolbook"/>
          <w:sz w:val="18"/>
          <w:szCs w:val="18"/>
        </w:rPr>
        <w:t>iii</w:t>
      </w:r>
      <w:r w:rsidRPr="009E622F">
        <w:rPr>
          <w:rFonts w:ascii="Century Schoolbook" w:hAnsi="Century Schoolbook"/>
          <w:smallCaps/>
          <w:sz w:val="18"/>
          <w:szCs w:val="18"/>
        </w:rPr>
        <w:t>).</w:t>
      </w:r>
    </w:p>
  </w:footnote>
  <w:footnote w:id="42">
    <w:p w:rsidR="00DC0D9B" w:rsidRPr="009E622F" w:rsidRDefault="00DC0D9B" w:rsidP="00610156">
      <w:pPr>
        <w:pStyle w:val="FootnoteText"/>
        <w:rPr>
          <w:rFonts w:ascii="Century Schoolbook" w:hAnsi="Century Schoolbook"/>
          <w:sz w:val="18"/>
          <w:szCs w:val="18"/>
        </w:rPr>
      </w:pPr>
      <w:r w:rsidRPr="009E622F">
        <w:rPr>
          <w:rStyle w:val="FootnoteReference"/>
          <w:rFonts w:ascii="Century Schoolbook" w:hAnsi="Century Schoolbook"/>
          <w:sz w:val="18"/>
          <w:szCs w:val="18"/>
        </w:rPr>
        <w:footnoteRef/>
      </w:r>
      <w:r w:rsidRPr="009E622F">
        <w:rPr>
          <w:rFonts w:ascii="Century Schoolbook" w:hAnsi="Century Schoolbook"/>
          <w:sz w:val="18"/>
          <w:szCs w:val="18"/>
        </w:rPr>
        <w:t xml:space="preserve"> Retention of separate counsel by individual plaintiffs is an important distinction between a class action and an MDL coordinated or consolidated proceeding. The class action device generally presumes that the absent class members will not have their own independent economically viable claims and are therefore made parties to the litigation only by virtue of the class certification order, without individual representation. In class actions, the only attorneys representing absent plaintiffs’ interests are Class Counsel.</w:t>
      </w:r>
    </w:p>
    <w:p w:rsidR="00DC0D9B" w:rsidRPr="00C239C8" w:rsidRDefault="00DC0D9B" w:rsidP="00610156">
      <w:pPr>
        <w:pStyle w:val="FootnoteText"/>
        <w:ind w:firstLine="720"/>
        <w:rPr>
          <w:rFonts w:ascii="Century Schoolbook" w:hAnsi="Century Schoolbook"/>
        </w:rPr>
      </w:pPr>
    </w:p>
    <w:p w:rsidR="00DC0D9B" w:rsidRPr="00C239C8" w:rsidRDefault="00DC0D9B" w:rsidP="00610156">
      <w:pPr>
        <w:pStyle w:val="FootnoteText"/>
        <w:ind w:firstLine="720"/>
        <w:rPr>
          <w:rFonts w:ascii="Century Schoolbook" w:hAnsi="Century Schoolbook"/>
        </w:rPr>
      </w:pPr>
    </w:p>
  </w:footnote>
  <w:footnote w:id="43">
    <w:p w:rsidR="00DC0D9B" w:rsidRPr="009E622F" w:rsidRDefault="00DC0D9B" w:rsidP="00610156">
      <w:pPr>
        <w:pStyle w:val="FootnoteText"/>
        <w:rPr>
          <w:rFonts w:ascii="Century Schoolbook" w:hAnsi="Century Schoolbook"/>
          <w:sz w:val="18"/>
          <w:szCs w:val="18"/>
        </w:rPr>
      </w:pPr>
      <w:r w:rsidRPr="009E622F">
        <w:rPr>
          <w:rStyle w:val="FootnoteReference"/>
          <w:rFonts w:ascii="Century Schoolbook" w:hAnsi="Century Schoolbook"/>
          <w:sz w:val="18"/>
          <w:szCs w:val="18"/>
        </w:rPr>
        <w:footnoteRef/>
      </w:r>
      <w:r w:rsidRPr="009E622F">
        <w:rPr>
          <w:rFonts w:ascii="Century Schoolbook" w:hAnsi="Century Schoolbook"/>
          <w:sz w:val="18"/>
          <w:szCs w:val="18"/>
        </w:rPr>
        <w:t xml:space="preserve"> In all cases, lead counsel’s settlement-related obligations to their own clients is subject to the usual ethical rules concerning joint settlements, including the aggregate settlement rule.  </w:t>
      </w:r>
      <w:r w:rsidRPr="009E622F">
        <w:rPr>
          <w:rFonts w:ascii="Century Schoolbook" w:hAnsi="Century Schoolbook"/>
          <w:i/>
          <w:sz w:val="18"/>
          <w:szCs w:val="18"/>
        </w:rPr>
        <w:t>See</w:t>
      </w:r>
      <w:r w:rsidRPr="009E622F">
        <w:rPr>
          <w:rFonts w:ascii="Century Schoolbook" w:hAnsi="Century Schoolbook"/>
          <w:sz w:val="18"/>
          <w:szCs w:val="18"/>
        </w:rPr>
        <w:t xml:space="preserve"> Principles of the Law of Aggregate Litigation §§ 3.15-17 (ALI 2010).</w:t>
      </w:r>
    </w:p>
  </w:footnote>
  <w:footnote w:id="44">
    <w:p w:rsidR="00DC0D9B" w:rsidRPr="009E622F" w:rsidRDefault="00DC0D9B" w:rsidP="00610156">
      <w:pPr>
        <w:pStyle w:val="FootnoteText"/>
        <w:rPr>
          <w:rFonts w:ascii="Century Schoolbook" w:hAnsi="Century Schoolbook"/>
          <w:sz w:val="18"/>
          <w:szCs w:val="18"/>
        </w:rPr>
      </w:pPr>
      <w:r w:rsidRPr="009E622F">
        <w:rPr>
          <w:rStyle w:val="FootnoteReference"/>
          <w:rFonts w:ascii="Century Schoolbook" w:hAnsi="Century Schoolbook"/>
          <w:sz w:val="18"/>
          <w:szCs w:val="18"/>
        </w:rPr>
        <w:footnoteRef/>
      </w:r>
      <w:r w:rsidRPr="009E622F">
        <w:rPr>
          <w:rFonts w:ascii="Century Schoolbook" w:hAnsi="Century Schoolbook"/>
          <w:sz w:val="18"/>
          <w:szCs w:val="18"/>
        </w:rPr>
        <w:t xml:space="preserve"> Committee Note, Fed. R .Civ. P. 16(c) (1983).</w:t>
      </w:r>
    </w:p>
  </w:footnote>
  <w:footnote w:id="45">
    <w:p w:rsidR="00DC0D9B" w:rsidRPr="00C239C8" w:rsidRDefault="00DC0D9B" w:rsidP="00610156">
      <w:pPr>
        <w:pStyle w:val="FootnoteText"/>
        <w:rPr>
          <w:rFonts w:ascii="Century Schoolbook" w:hAnsi="Century Schoolbook"/>
        </w:rPr>
      </w:pPr>
      <w:r w:rsidRPr="009E622F">
        <w:rPr>
          <w:rStyle w:val="FootnoteReference"/>
          <w:rFonts w:ascii="Century Schoolbook" w:hAnsi="Century Schoolbook"/>
          <w:sz w:val="18"/>
          <w:szCs w:val="18"/>
        </w:rPr>
        <w:footnoteRef/>
      </w:r>
      <w:r w:rsidRPr="009E622F">
        <w:rPr>
          <w:rFonts w:ascii="Century Schoolbook" w:hAnsi="Century Schoolbook"/>
          <w:sz w:val="18"/>
          <w:szCs w:val="18"/>
        </w:rPr>
        <w:t xml:space="preserve"> MCL § 13.14.</w:t>
      </w:r>
    </w:p>
  </w:footnote>
  <w:footnote w:id="46">
    <w:p w:rsidR="00DC0D9B" w:rsidRPr="009E622F" w:rsidRDefault="00DC0D9B">
      <w:pPr>
        <w:pStyle w:val="FootnoteText"/>
        <w:rPr>
          <w:rFonts w:ascii="Century Schoolbook" w:hAnsi="Century Schoolbook"/>
          <w:sz w:val="18"/>
          <w:szCs w:val="18"/>
        </w:rPr>
      </w:pPr>
      <w:r w:rsidRPr="009E622F">
        <w:rPr>
          <w:rStyle w:val="FootnoteReference"/>
          <w:rFonts w:ascii="Century Schoolbook" w:hAnsi="Century Schoolbook"/>
          <w:sz w:val="18"/>
          <w:szCs w:val="18"/>
        </w:rPr>
        <w:footnoteRef/>
      </w:r>
      <w:r w:rsidRPr="009E622F">
        <w:rPr>
          <w:rFonts w:ascii="Century Schoolbook" w:hAnsi="Century Schoolbook"/>
          <w:sz w:val="18"/>
          <w:szCs w:val="18"/>
        </w:rPr>
        <w:t xml:space="preserve"> Principles of the Law, Aggregate Litigation § 3.17 (2010).</w:t>
      </w:r>
    </w:p>
  </w:footnote>
  <w:footnote w:id="47">
    <w:p w:rsidR="00DC0D9B" w:rsidRPr="009E622F" w:rsidRDefault="00DC0D9B">
      <w:pPr>
        <w:pStyle w:val="FootnoteText"/>
        <w:rPr>
          <w:rFonts w:ascii="Century Schoolbook" w:hAnsi="Century Schoolbook"/>
          <w:sz w:val="18"/>
          <w:szCs w:val="18"/>
        </w:rPr>
      </w:pPr>
      <w:r w:rsidRPr="009E622F">
        <w:rPr>
          <w:rStyle w:val="FootnoteReference"/>
          <w:rFonts w:ascii="Century Schoolbook" w:hAnsi="Century Schoolbook"/>
          <w:sz w:val="18"/>
          <w:szCs w:val="18"/>
        </w:rPr>
        <w:footnoteRef/>
      </w:r>
      <w:r w:rsidRPr="009E622F">
        <w:rPr>
          <w:rFonts w:ascii="Century Schoolbook" w:hAnsi="Century Schoolbook"/>
          <w:sz w:val="18"/>
          <w:szCs w:val="18"/>
        </w:rPr>
        <w:t xml:space="preserve"> Calculation of thresholds should account for deceased claimants, whose estates may not be closed for many years, by accepting releases from heirs or other family members, even if not technically binding.</w:t>
      </w:r>
    </w:p>
  </w:footnote>
  <w:footnote w:id="48">
    <w:p w:rsidR="00DC0D9B" w:rsidRPr="009E622F" w:rsidRDefault="00DC0D9B" w:rsidP="009E622F">
      <w:pPr>
        <w:pStyle w:val="Default"/>
        <w:contextualSpacing/>
        <w:rPr>
          <w:rFonts w:ascii="Century Schoolbook" w:hAnsi="Century Schoolbook"/>
          <w:sz w:val="18"/>
          <w:szCs w:val="18"/>
        </w:rPr>
      </w:pPr>
      <w:r w:rsidRPr="009E622F">
        <w:rPr>
          <w:rStyle w:val="FootnoteReference"/>
          <w:rFonts w:ascii="Century Schoolbook" w:hAnsi="Century Schoolbook"/>
          <w:sz w:val="18"/>
          <w:szCs w:val="18"/>
        </w:rPr>
        <w:footnoteRef/>
      </w:r>
      <w:r w:rsidRPr="009E622F">
        <w:rPr>
          <w:rFonts w:ascii="Century Schoolbook" w:hAnsi="Century Schoolbook"/>
          <w:sz w:val="18"/>
          <w:szCs w:val="18"/>
        </w:rPr>
        <w:t xml:space="preserve"> </w:t>
      </w:r>
      <w:r w:rsidRPr="009E622F">
        <w:rPr>
          <w:rFonts w:ascii="Century Schoolbook" w:hAnsi="Century Schoolbook"/>
          <w:color w:val="auto"/>
          <w:sz w:val="18"/>
          <w:szCs w:val="18"/>
        </w:rPr>
        <w:t>Under I.R.S. § 468B and Treasury Regulation 1.468B-1(c), each QSF must: (1) be created by a court or other governmental authority and be subject to continuing court supervision; (2) resolve claims related to the subject of the lawsuit; and (3) qualify as a trust under state law or have its assets otherwise segregated from other assets of the transferor</w:t>
      </w:r>
      <w:r w:rsidRPr="009E622F">
        <w:rPr>
          <w:rFonts w:ascii="Century Schoolbook" w:hAnsi="Century Schoolbook"/>
          <w:sz w:val="18"/>
          <w:szCs w:val="18"/>
        </w:rPr>
        <w:t>.</w:t>
      </w:r>
    </w:p>
  </w:footnote>
  <w:footnote w:id="49">
    <w:p w:rsidR="00DC0D9B" w:rsidRPr="009E622F" w:rsidRDefault="00DC0D9B" w:rsidP="00610156">
      <w:pPr>
        <w:pStyle w:val="FootnoteText"/>
        <w:rPr>
          <w:rFonts w:ascii="Century Schoolbook" w:hAnsi="Century Schoolbook"/>
          <w:sz w:val="18"/>
          <w:szCs w:val="18"/>
        </w:rPr>
      </w:pPr>
      <w:r w:rsidRPr="009E622F">
        <w:rPr>
          <w:rStyle w:val="FootnoteReference"/>
          <w:rFonts w:ascii="Century Schoolbook" w:hAnsi="Century Schoolbook"/>
          <w:sz w:val="18"/>
          <w:szCs w:val="18"/>
        </w:rPr>
        <w:footnoteRef/>
      </w:r>
      <w:r w:rsidRPr="009E622F">
        <w:rPr>
          <w:rFonts w:ascii="Century Schoolbook" w:hAnsi="Century Schoolbook"/>
          <w:sz w:val="18"/>
          <w:szCs w:val="18"/>
        </w:rPr>
        <w:t xml:space="preserve"> </w:t>
      </w:r>
      <w:r w:rsidRPr="009E622F">
        <w:rPr>
          <w:rFonts w:ascii="Century Schoolbook" w:hAnsi="Century Schoolbook"/>
          <w:i/>
          <w:sz w:val="18"/>
          <w:szCs w:val="18"/>
        </w:rPr>
        <w:t>See</w:t>
      </w:r>
      <w:r w:rsidRPr="009E622F">
        <w:rPr>
          <w:rFonts w:ascii="Century Schoolbook" w:hAnsi="Century Schoolbook"/>
          <w:sz w:val="18"/>
          <w:szCs w:val="18"/>
        </w:rPr>
        <w:t xml:space="preserve"> 42 U.S.C. § 1395(y)(b) (2012). </w:t>
      </w:r>
    </w:p>
  </w:footnote>
  <w:footnote w:id="50">
    <w:p w:rsidR="00DC0D9B" w:rsidRPr="009E622F" w:rsidRDefault="00DC0D9B">
      <w:pPr>
        <w:pStyle w:val="FootnoteText"/>
        <w:rPr>
          <w:rFonts w:ascii="Century Schoolbook" w:hAnsi="Century Schoolbook"/>
          <w:sz w:val="18"/>
          <w:szCs w:val="18"/>
        </w:rPr>
      </w:pPr>
      <w:r w:rsidRPr="009E622F">
        <w:rPr>
          <w:rStyle w:val="FootnoteReference"/>
          <w:rFonts w:ascii="Century Schoolbook" w:hAnsi="Century Schoolbook"/>
          <w:sz w:val="18"/>
          <w:szCs w:val="18"/>
        </w:rPr>
        <w:footnoteRef/>
      </w:r>
      <w:r w:rsidRPr="009E622F">
        <w:rPr>
          <w:rFonts w:ascii="Century Schoolbook" w:hAnsi="Century Schoolbook"/>
          <w:sz w:val="18"/>
          <w:szCs w:val="18"/>
        </w:rPr>
        <w:t xml:space="preserve"> Section 111 of the Medicare, Medicaid and SCHIP Extension Act of 2007 (“MMSEA”), 42 U.S.C. § 1395y(b) &amp; (b)(8).</w:t>
      </w:r>
    </w:p>
  </w:footnote>
  <w:footnote w:id="51">
    <w:p w:rsidR="00DC0D9B" w:rsidRPr="009E622F" w:rsidRDefault="00DC0D9B" w:rsidP="00610156">
      <w:pPr>
        <w:pStyle w:val="FootnoteText"/>
        <w:rPr>
          <w:rFonts w:ascii="Century Schoolbook" w:hAnsi="Century Schoolbook"/>
          <w:sz w:val="18"/>
          <w:szCs w:val="18"/>
        </w:rPr>
      </w:pPr>
      <w:r w:rsidRPr="009E622F">
        <w:rPr>
          <w:rStyle w:val="FootnoteReference"/>
          <w:rFonts w:ascii="Century Schoolbook" w:hAnsi="Century Schoolbook"/>
          <w:sz w:val="18"/>
          <w:szCs w:val="18"/>
        </w:rPr>
        <w:footnoteRef/>
      </w:r>
      <w:r w:rsidRPr="009E622F">
        <w:rPr>
          <w:rFonts w:ascii="Century Schoolbook" w:hAnsi="Century Schoolbook"/>
          <w:sz w:val="18"/>
          <w:szCs w:val="18"/>
        </w:rPr>
        <w:t xml:space="preserve"> </w:t>
      </w:r>
      <w:r w:rsidRPr="009E622F">
        <w:rPr>
          <w:rFonts w:ascii="Century Schoolbook" w:hAnsi="Century Schoolbook"/>
          <w:i/>
          <w:sz w:val="18"/>
          <w:szCs w:val="18"/>
        </w:rPr>
        <w:t>See id.</w:t>
      </w:r>
      <w:r w:rsidRPr="009E622F">
        <w:rPr>
          <w:rFonts w:ascii="Century Schoolbook" w:hAnsi="Century Schoolbook"/>
          <w:sz w:val="18"/>
          <w:szCs w:val="18"/>
        </w:rPr>
        <w:t xml:space="preserve"> § 1395(y)(b)(8).</w:t>
      </w:r>
    </w:p>
  </w:footnote>
  <w:footnote w:id="52">
    <w:p w:rsidR="00DC0D9B" w:rsidRPr="00D07328" w:rsidRDefault="00DC0D9B" w:rsidP="00610156">
      <w:pPr>
        <w:pStyle w:val="FootnoteText"/>
        <w:rPr>
          <w:rFonts w:ascii="Century Schoolbook" w:hAnsi="Century Schoolbook"/>
        </w:rPr>
      </w:pPr>
      <w:r w:rsidRPr="009E622F">
        <w:rPr>
          <w:rStyle w:val="FootnoteReference"/>
          <w:rFonts w:ascii="Century Schoolbook" w:hAnsi="Century Schoolbook"/>
          <w:sz w:val="18"/>
          <w:szCs w:val="18"/>
        </w:rPr>
        <w:footnoteRef/>
      </w:r>
      <w:r w:rsidRPr="009E622F">
        <w:rPr>
          <w:rFonts w:ascii="Century Schoolbook" w:hAnsi="Century Schoolbook"/>
          <w:sz w:val="18"/>
          <w:szCs w:val="18"/>
        </w:rPr>
        <w:t xml:space="preserve"> </w:t>
      </w:r>
      <w:r w:rsidRPr="009E622F">
        <w:rPr>
          <w:rFonts w:ascii="Century Schoolbook" w:hAnsi="Century Schoolbook"/>
          <w:i/>
          <w:sz w:val="18"/>
          <w:szCs w:val="18"/>
        </w:rPr>
        <w:t>See</w:t>
      </w:r>
      <w:r w:rsidRPr="009E622F">
        <w:rPr>
          <w:rFonts w:ascii="Century Schoolbook" w:hAnsi="Century Schoolbook"/>
          <w:sz w:val="18"/>
          <w:szCs w:val="18"/>
        </w:rPr>
        <w:t xml:space="preserve"> Humana Medical Plans, Inc. v. Western Heritage Ins. Co., 832 F.3d 1229 (11th Cir. 2016); </w:t>
      </w:r>
      <w:r w:rsidRPr="009E622F">
        <w:rPr>
          <w:rFonts w:ascii="Century Schoolbook" w:hAnsi="Century Schoolbook"/>
          <w:i/>
          <w:iCs/>
          <w:sz w:val="18"/>
          <w:szCs w:val="18"/>
        </w:rPr>
        <w:t xml:space="preserve">In re </w:t>
      </w:r>
      <w:r w:rsidRPr="009E622F">
        <w:rPr>
          <w:rFonts w:ascii="Century Schoolbook" w:hAnsi="Century Schoolbook"/>
          <w:i/>
          <w:sz w:val="18"/>
          <w:szCs w:val="18"/>
        </w:rPr>
        <w:t>Avandia</w:t>
      </w:r>
      <w:r w:rsidRPr="009E622F">
        <w:rPr>
          <w:rFonts w:ascii="Century Schoolbook" w:hAnsi="Century Schoolbook"/>
          <w:sz w:val="18"/>
          <w:szCs w:val="18"/>
        </w:rPr>
        <w:t>, 685 F.3d 353 (3d Cir. 2012).</w:t>
      </w:r>
    </w:p>
  </w:footnote>
  <w:footnote w:id="53">
    <w:p w:rsidR="00DC0D9B" w:rsidRPr="009E622F" w:rsidRDefault="00DC0D9B" w:rsidP="00610156">
      <w:pPr>
        <w:pStyle w:val="FootnoteText"/>
        <w:rPr>
          <w:rFonts w:ascii="Century Schoolbook" w:hAnsi="Century Schoolbook"/>
          <w:sz w:val="18"/>
          <w:szCs w:val="18"/>
        </w:rPr>
      </w:pPr>
      <w:r w:rsidRPr="009E622F">
        <w:rPr>
          <w:rStyle w:val="FootnoteReference"/>
          <w:rFonts w:ascii="Century Schoolbook" w:hAnsi="Century Schoolbook"/>
          <w:sz w:val="18"/>
          <w:szCs w:val="18"/>
        </w:rPr>
        <w:footnoteRef/>
      </w:r>
      <w:r w:rsidRPr="009E622F">
        <w:rPr>
          <w:rFonts w:ascii="Century Schoolbook" w:hAnsi="Century Schoolbook"/>
          <w:sz w:val="18"/>
          <w:szCs w:val="18"/>
        </w:rPr>
        <w:t xml:space="preserve"> 42 U.S.C. §§ 1396(a), (k) (2012).</w:t>
      </w:r>
    </w:p>
  </w:footnote>
  <w:footnote w:id="54">
    <w:p w:rsidR="00DC0D9B" w:rsidRPr="009E622F" w:rsidRDefault="00DC0D9B" w:rsidP="00610156">
      <w:pPr>
        <w:pStyle w:val="FootnoteText"/>
        <w:rPr>
          <w:rFonts w:ascii="Century Schoolbook" w:hAnsi="Century Schoolbook"/>
          <w:sz w:val="18"/>
          <w:szCs w:val="18"/>
        </w:rPr>
      </w:pPr>
      <w:r w:rsidRPr="009E622F">
        <w:rPr>
          <w:rStyle w:val="FootnoteReference"/>
          <w:rFonts w:ascii="Century Schoolbook" w:hAnsi="Century Schoolbook"/>
          <w:sz w:val="18"/>
          <w:szCs w:val="18"/>
        </w:rPr>
        <w:footnoteRef/>
      </w:r>
      <w:r w:rsidRPr="009E622F">
        <w:rPr>
          <w:rFonts w:ascii="Century Schoolbook" w:hAnsi="Century Schoolbook"/>
          <w:sz w:val="18"/>
          <w:szCs w:val="18"/>
        </w:rPr>
        <w:t xml:space="preserve"> </w:t>
      </w:r>
      <w:r w:rsidRPr="009E622F">
        <w:rPr>
          <w:rFonts w:ascii="Century Schoolbook" w:hAnsi="Century Schoolbook"/>
          <w:i/>
          <w:sz w:val="18"/>
          <w:szCs w:val="18"/>
        </w:rPr>
        <w:t>See</w:t>
      </w:r>
      <w:r w:rsidRPr="009E622F">
        <w:rPr>
          <w:rFonts w:ascii="Century Schoolbook" w:hAnsi="Century Schoolbook"/>
          <w:sz w:val="18"/>
          <w:szCs w:val="18"/>
        </w:rPr>
        <w:t xml:space="preserve"> 42 U.S.C. §§ 2651-2653 (2012).</w:t>
      </w:r>
    </w:p>
  </w:footnote>
  <w:footnote w:id="55">
    <w:p w:rsidR="00DC0D9B" w:rsidRPr="009E622F" w:rsidRDefault="00DC0D9B">
      <w:pPr>
        <w:pStyle w:val="FootnoteText"/>
        <w:rPr>
          <w:rFonts w:ascii="Century Schoolbook" w:hAnsi="Century Schoolbook"/>
          <w:sz w:val="18"/>
          <w:szCs w:val="18"/>
        </w:rPr>
      </w:pPr>
      <w:r w:rsidRPr="009E622F">
        <w:rPr>
          <w:rStyle w:val="FootnoteReference"/>
          <w:rFonts w:ascii="Century Schoolbook" w:hAnsi="Century Schoolbook"/>
          <w:sz w:val="18"/>
          <w:szCs w:val="18"/>
        </w:rPr>
        <w:footnoteRef/>
      </w:r>
      <w:r w:rsidRPr="009E622F">
        <w:rPr>
          <w:rFonts w:ascii="Century Schoolbook" w:hAnsi="Century Schoolbook"/>
          <w:sz w:val="18"/>
          <w:szCs w:val="18"/>
        </w:rPr>
        <w:t xml:space="preserve"> Such providers include the U.S. Department of Veterans Affairs (“VA”), TRICARE, and Indian Health Service (“IHS”).</w:t>
      </w:r>
    </w:p>
  </w:footnote>
  <w:footnote w:id="56">
    <w:p w:rsidR="00DC0D9B" w:rsidRPr="00C239C8" w:rsidRDefault="00DC0D9B" w:rsidP="00610156">
      <w:pPr>
        <w:pStyle w:val="FootnoteText"/>
        <w:rPr>
          <w:rFonts w:ascii="Century Schoolbook" w:hAnsi="Century Schoolbook"/>
        </w:rPr>
      </w:pPr>
      <w:r w:rsidRPr="009E622F">
        <w:rPr>
          <w:rStyle w:val="FootnoteReference"/>
          <w:rFonts w:ascii="Century Schoolbook" w:hAnsi="Century Schoolbook"/>
          <w:sz w:val="18"/>
          <w:szCs w:val="18"/>
        </w:rPr>
        <w:footnoteRef/>
      </w:r>
      <w:r w:rsidRPr="009E622F">
        <w:rPr>
          <w:rFonts w:ascii="Century Schoolbook" w:hAnsi="Century Schoolbook"/>
          <w:sz w:val="18"/>
          <w:szCs w:val="18"/>
        </w:rPr>
        <w:t xml:space="preserve"> Both parties and attorneys can be liable for failure to report. </w:t>
      </w:r>
      <w:r w:rsidRPr="009E622F">
        <w:rPr>
          <w:rFonts w:ascii="Century Schoolbook" w:hAnsi="Century Schoolbook"/>
          <w:i/>
          <w:sz w:val="18"/>
          <w:szCs w:val="18"/>
        </w:rPr>
        <w:t>See e.g.,</w:t>
      </w:r>
      <w:r w:rsidRPr="009E622F">
        <w:rPr>
          <w:rFonts w:ascii="Century Schoolbook" w:hAnsi="Century Schoolbook"/>
          <w:sz w:val="18"/>
          <w:szCs w:val="18"/>
        </w:rPr>
        <w:t xml:space="preserve"> 42 U.S.C. § 1395y(b)(2)(B)(iii); 42 C.F.R. § 411.24(c)(2) (allowing for a penalty of $1,000 per day for failure to report a settlement involving a Medicare beneficiary and allowing Medicare to bring an action for double damages against any responsible entity for repayment).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4D601D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7B6384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DD84DD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3CEC55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328023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38AB7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3201C1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EA809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CC373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28445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9113E"/>
    <w:multiLevelType w:val="hybridMultilevel"/>
    <w:tmpl w:val="D9089B12"/>
    <w:lvl w:ilvl="0" w:tplc="D322537E">
      <w:start w:val="1"/>
      <w:numFmt w:val="bullet"/>
      <w:lvlText w:val=""/>
      <w:lvlJc w:val="left"/>
      <w:pPr>
        <w:ind w:left="720" w:hanging="360"/>
      </w:pPr>
      <w:rPr>
        <w:rFonts w:ascii="Symbol" w:hAnsi="Symbol" w:hint="default"/>
      </w:rPr>
    </w:lvl>
    <w:lvl w:ilvl="1" w:tplc="5D3C5324">
      <w:start w:val="1"/>
      <w:numFmt w:val="bullet"/>
      <w:lvlText w:val="o"/>
      <w:lvlJc w:val="left"/>
      <w:pPr>
        <w:ind w:left="1440" w:hanging="360"/>
      </w:pPr>
      <w:rPr>
        <w:rFonts w:ascii="Courier New" w:hAnsi="Courier New" w:cs="Courier New" w:hint="default"/>
      </w:rPr>
    </w:lvl>
    <w:lvl w:ilvl="2" w:tplc="15081C2C">
      <w:start w:val="1"/>
      <w:numFmt w:val="bullet"/>
      <w:lvlText w:val=""/>
      <w:lvlJc w:val="left"/>
      <w:pPr>
        <w:ind w:left="2160" w:hanging="360"/>
      </w:pPr>
      <w:rPr>
        <w:rFonts w:ascii="Wingdings" w:hAnsi="Wingdings" w:hint="default"/>
      </w:rPr>
    </w:lvl>
    <w:lvl w:ilvl="3" w:tplc="18B07344">
      <w:start w:val="1"/>
      <w:numFmt w:val="bullet"/>
      <w:lvlText w:val=""/>
      <w:lvlJc w:val="left"/>
      <w:pPr>
        <w:ind w:left="2880" w:hanging="360"/>
      </w:pPr>
      <w:rPr>
        <w:rFonts w:ascii="Symbol" w:hAnsi="Symbol" w:hint="default"/>
      </w:rPr>
    </w:lvl>
    <w:lvl w:ilvl="4" w:tplc="8812C0FE">
      <w:start w:val="1"/>
      <w:numFmt w:val="bullet"/>
      <w:lvlText w:val="o"/>
      <w:lvlJc w:val="left"/>
      <w:pPr>
        <w:ind w:left="3600" w:hanging="360"/>
      </w:pPr>
      <w:rPr>
        <w:rFonts w:ascii="Courier New" w:hAnsi="Courier New" w:cs="Courier New" w:hint="default"/>
      </w:rPr>
    </w:lvl>
    <w:lvl w:ilvl="5" w:tplc="448E6580">
      <w:start w:val="1"/>
      <w:numFmt w:val="bullet"/>
      <w:lvlText w:val=""/>
      <w:lvlJc w:val="left"/>
      <w:pPr>
        <w:ind w:left="4320" w:hanging="360"/>
      </w:pPr>
      <w:rPr>
        <w:rFonts w:ascii="Wingdings" w:hAnsi="Wingdings" w:hint="default"/>
      </w:rPr>
    </w:lvl>
    <w:lvl w:ilvl="6" w:tplc="58C4DDEC">
      <w:start w:val="1"/>
      <w:numFmt w:val="bullet"/>
      <w:lvlText w:val=""/>
      <w:lvlJc w:val="left"/>
      <w:pPr>
        <w:ind w:left="5040" w:hanging="360"/>
      </w:pPr>
      <w:rPr>
        <w:rFonts w:ascii="Symbol" w:hAnsi="Symbol" w:hint="default"/>
      </w:rPr>
    </w:lvl>
    <w:lvl w:ilvl="7" w:tplc="665AE522">
      <w:start w:val="1"/>
      <w:numFmt w:val="bullet"/>
      <w:lvlText w:val="o"/>
      <w:lvlJc w:val="left"/>
      <w:pPr>
        <w:ind w:left="5760" w:hanging="360"/>
      </w:pPr>
      <w:rPr>
        <w:rFonts w:ascii="Courier New" w:hAnsi="Courier New" w:cs="Courier New" w:hint="default"/>
      </w:rPr>
    </w:lvl>
    <w:lvl w:ilvl="8" w:tplc="C8700FA4">
      <w:start w:val="1"/>
      <w:numFmt w:val="bullet"/>
      <w:lvlText w:val=""/>
      <w:lvlJc w:val="left"/>
      <w:pPr>
        <w:ind w:left="6480" w:hanging="360"/>
      </w:pPr>
      <w:rPr>
        <w:rFonts w:ascii="Wingdings" w:hAnsi="Wingdings" w:hint="default"/>
      </w:rPr>
    </w:lvl>
  </w:abstractNum>
  <w:abstractNum w:abstractNumId="11" w15:restartNumberingAfterBreak="0">
    <w:nsid w:val="21FF65A2"/>
    <w:multiLevelType w:val="hybridMultilevel"/>
    <w:tmpl w:val="3B0A50C6"/>
    <w:lvl w:ilvl="0" w:tplc="D0AE466C">
      <w:start w:val="1"/>
      <w:numFmt w:val="bullet"/>
      <w:lvlText w:val=""/>
      <w:lvlJc w:val="left"/>
      <w:pPr>
        <w:ind w:left="720" w:hanging="360"/>
      </w:pPr>
      <w:rPr>
        <w:rFonts w:ascii="Symbol" w:hAnsi="Symbol" w:hint="default"/>
      </w:rPr>
    </w:lvl>
    <w:lvl w:ilvl="1" w:tplc="FA8A27CC" w:tentative="1">
      <w:start w:val="1"/>
      <w:numFmt w:val="bullet"/>
      <w:lvlText w:val="o"/>
      <w:lvlJc w:val="left"/>
      <w:pPr>
        <w:ind w:left="1440" w:hanging="360"/>
      </w:pPr>
      <w:rPr>
        <w:rFonts w:ascii="Courier New" w:hAnsi="Courier New" w:cs="Courier New" w:hint="default"/>
      </w:rPr>
    </w:lvl>
    <w:lvl w:ilvl="2" w:tplc="24367084" w:tentative="1">
      <w:start w:val="1"/>
      <w:numFmt w:val="bullet"/>
      <w:lvlText w:val=""/>
      <w:lvlJc w:val="left"/>
      <w:pPr>
        <w:ind w:left="2160" w:hanging="360"/>
      </w:pPr>
      <w:rPr>
        <w:rFonts w:ascii="Wingdings" w:hAnsi="Wingdings" w:hint="default"/>
      </w:rPr>
    </w:lvl>
    <w:lvl w:ilvl="3" w:tplc="0178BAE6" w:tentative="1">
      <w:start w:val="1"/>
      <w:numFmt w:val="bullet"/>
      <w:lvlText w:val=""/>
      <w:lvlJc w:val="left"/>
      <w:pPr>
        <w:ind w:left="2880" w:hanging="360"/>
      </w:pPr>
      <w:rPr>
        <w:rFonts w:ascii="Symbol" w:hAnsi="Symbol" w:hint="default"/>
      </w:rPr>
    </w:lvl>
    <w:lvl w:ilvl="4" w:tplc="992259DC" w:tentative="1">
      <w:start w:val="1"/>
      <w:numFmt w:val="bullet"/>
      <w:lvlText w:val="o"/>
      <w:lvlJc w:val="left"/>
      <w:pPr>
        <w:ind w:left="3600" w:hanging="360"/>
      </w:pPr>
      <w:rPr>
        <w:rFonts w:ascii="Courier New" w:hAnsi="Courier New" w:cs="Courier New" w:hint="default"/>
      </w:rPr>
    </w:lvl>
    <w:lvl w:ilvl="5" w:tplc="C9926FD2" w:tentative="1">
      <w:start w:val="1"/>
      <w:numFmt w:val="bullet"/>
      <w:lvlText w:val=""/>
      <w:lvlJc w:val="left"/>
      <w:pPr>
        <w:ind w:left="4320" w:hanging="360"/>
      </w:pPr>
      <w:rPr>
        <w:rFonts w:ascii="Wingdings" w:hAnsi="Wingdings" w:hint="default"/>
      </w:rPr>
    </w:lvl>
    <w:lvl w:ilvl="6" w:tplc="43F468E4" w:tentative="1">
      <w:start w:val="1"/>
      <w:numFmt w:val="bullet"/>
      <w:lvlText w:val=""/>
      <w:lvlJc w:val="left"/>
      <w:pPr>
        <w:ind w:left="5040" w:hanging="360"/>
      </w:pPr>
      <w:rPr>
        <w:rFonts w:ascii="Symbol" w:hAnsi="Symbol" w:hint="default"/>
      </w:rPr>
    </w:lvl>
    <w:lvl w:ilvl="7" w:tplc="7ACC7422" w:tentative="1">
      <w:start w:val="1"/>
      <w:numFmt w:val="bullet"/>
      <w:lvlText w:val="o"/>
      <w:lvlJc w:val="left"/>
      <w:pPr>
        <w:ind w:left="5760" w:hanging="360"/>
      </w:pPr>
      <w:rPr>
        <w:rFonts w:ascii="Courier New" w:hAnsi="Courier New" w:cs="Courier New" w:hint="default"/>
      </w:rPr>
    </w:lvl>
    <w:lvl w:ilvl="8" w:tplc="D31C942C" w:tentative="1">
      <w:start w:val="1"/>
      <w:numFmt w:val="bullet"/>
      <w:lvlText w:val=""/>
      <w:lvlJc w:val="left"/>
      <w:pPr>
        <w:ind w:left="6480" w:hanging="360"/>
      </w:pPr>
      <w:rPr>
        <w:rFonts w:ascii="Wingdings" w:hAnsi="Wingdings" w:hint="default"/>
      </w:rPr>
    </w:lvl>
  </w:abstractNum>
  <w:abstractNum w:abstractNumId="12" w15:restartNumberingAfterBreak="0">
    <w:nsid w:val="331C734B"/>
    <w:multiLevelType w:val="hybridMultilevel"/>
    <w:tmpl w:val="B484CCF0"/>
    <w:lvl w:ilvl="0" w:tplc="F698EA92">
      <w:start w:val="1"/>
      <w:numFmt w:val="bullet"/>
      <w:lvlText w:val=""/>
      <w:lvlJc w:val="left"/>
      <w:pPr>
        <w:ind w:left="1800" w:hanging="360"/>
      </w:pPr>
      <w:rPr>
        <w:rFonts w:ascii="Symbol" w:hAnsi="Symbol" w:hint="default"/>
      </w:rPr>
    </w:lvl>
    <w:lvl w:ilvl="1" w:tplc="93F21A96" w:tentative="1">
      <w:start w:val="1"/>
      <w:numFmt w:val="bullet"/>
      <w:lvlText w:val="o"/>
      <w:lvlJc w:val="left"/>
      <w:pPr>
        <w:ind w:left="2520" w:hanging="360"/>
      </w:pPr>
      <w:rPr>
        <w:rFonts w:ascii="Courier New" w:hAnsi="Courier New" w:cs="Courier New" w:hint="default"/>
      </w:rPr>
    </w:lvl>
    <w:lvl w:ilvl="2" w:tplc="5448A1D6" w:tentative="1">
      <w:start w:val="1"/>
      <w:numFmt w:val="bullet"/>
      <w:lvlText w:val=""/>
      <w:lvlJc w:val="left"/>
      <w:pPr>
        <w:ind w:left="3240" w:hanging="360"/>
      </w:pPr>
      <w:rPr>
        <w:rFonts w:ascii="Wingdings" w:hAnsi="Wingdings" w:hint="default"/>
      </w:rPr>
    </w:lvl>
    <w:lvl w:ilvl="3" w:tplc="10F61F7A" w:tentative="1">
      <w:start w:val="1"/>
      <w:numFmt w:val="bullet"/>
      <w:lvlText w:val=""/>
      <w:lvlJc w:val="left"/>
      <w:pPr>
        <w:ind w:left="3960" w:hanging="360"/>
      </w:pPr>
      <w:rPr>
        <w:rFonts w:ascii="Symbol" w:hAnsi="Symbol" w:hint="default"/>
      </w:rPr>
    </w:lvl>
    <w:lvl w:ilvl="4" w:tplc="0F547868" w:tentative="1">
      <w:start w:val="1"/>
      <w:numFmt w:val="bullet"/>
      <w:lvlText w:val="o"/>
      <w:lvlJc w:val="left"/>
      <w:pPr>
        <w:ind w:left="4680" w:hanging="360"/>
      </w:pPr>
      <w:rPr>
        <w:rFonts w:ascii="Courier New" w:hAnsi="Courier New" w:cs="Courier New" w:hint="default"/>
      </w:rPr>
    </w:lvl>
    <w:lvl w:ilvl="5" w:tplc="90C2FFA0" w:tentative="1">
      <w:start w:val="1"/>
      <w:numFmt w:val="bullet"/>
      <w:lvlText w:val=""/>
      <w:lvlJc w:val="left"/>
      <w:pPr>
        <w:ind w:left="5400" w:hanging="360"/>
      </w:pPr>
      <w:rPr>
        <w:rFonts w:ascii="Wingdings" w:hAnsi="Wingdings" w:hint="default"/>
      </w:rPr>
    </w:lvl>
    <w:lvl w:ilvl="6" w:tplc="5D84E3B8" w:tentative="1">
      <w:start w:val="1"/>
      <w:numFmt w:val="bullet"/>
      <w:lvlText w:val=""/>
      <w:lvlJc w:val="left"/>
      <w:pPr>
        <w:ind w:left="6120" w:hanging="360"/>
      </w:pPr>
      <w:rPr>
        <w:rFonts w:ascii="Symbol" w:hAnsi="Symbol" w:hint="default"/>
      </w:rPr>
    </w:lvl>
    <w:lvl w:ilvl="7" w:tplc="B302CADA" w:tentative="1">
      <w:start w:val="1"/>
      <w:numFmt w:val="bullet"/>
      <w:lvlText w:val="o"/>
      <w:lvlJc w:val="left"/>
      <w:pPr>
        <w:ind w:left="6840" w:hanging="360"/>
      </w:pPr>
      <w:rPr>
        <w:rFonts w:ascii="Courier New" w:hAnsi="Courier New" w:cs="Courier New" w:hint="default"/>
      </w:rPr>
    </w:lvl>
    <w:lvl w:ilvl="8" w:tplc="81F29020" w:tentative="1">
      <w:start w:val="1"/>
      <w:numFmt w:val="bullet"/>
      <w:lvlText w:val=""/>
      <w:lvlJc w:val="left"/>
      <w:pPr>
        <w:ind w:left="7560" w:hanging="360"/>
      </w:pPr>
      <w:rPr>
        <w:rFonts w:ascii="Wingdings" w:hAnsi="Wingdings" w:hint="default"/>
      </w:rPr>
    </w:lvl>
  </w:abstractNum>
  <w:abstractNum w:abstractNumId="13" w15:restartNumberingAfterBreak="0">
    <w:nsid w:val="652F77B9"/>
    <w:multiLevelType w:val="hybridMultilevel"/>
    <w:tmpl w:val="1A3A986E"/>
    <w:lvl w:ilvl="0" w:tplc="B7EA16EA">
      <w:start w:val="1"/>
      <w:numFmt w:val="lowerLetter"/>
      <w:lvlText w:val="%1."/>
      <w:lvlJc w:val="left"/>
      <w:pPr>
        <w:ind w:left="1800" w:hanging="360"/>
      </w:pPr>
      <w:rPr>
        <w:rFonts w:hint="default"/>
      </w:rPr>
    </w:lvl>
    <w:lvl w:ilvl="1" w:tplc="92707792" w:tentative="1">
      <w:start w:val="1"/>
      <w:numFmt w:val="lowerLetter"/>
      <w:lvlText w:val="%2."/>
      <w:lvlJc w:val="left"/>
      <w:pPr>
        <w:ind w:left="2520" w:hanging="360"/>
      </w:pPr>
    </w:lvl>
    <w:lvl w:ilvl="2" w:tplc="A6128BE2" w:tentative="1">
      <w:start w:val="1"/>
      <w:numFmt w:val="lowerRoman"/>
      <w:lvlText w:val="%3."/>
      <w:lvlJc w:val="right"/>
      <w:pPr>
        <w:ind w:left="3240" w:hanging="180"/>
      </w:pPr>
    </w:lvl>
    <w:lvl w:ilvl="3" w:tplc="DC4609B8" w:tentative="1">
      <w:start w:val="1"/>
      <w:numFmt w:val="decimal"/>
      <w:lvlText w:val="%4."/>
      <w:lvlJc w:val="left"/>
      <w:pPr>
        <w:ind w:left="3960" w:hanging="360"/>
      </w:pPr>
    </w:lvl>
    <w:lvl w:ilvl="4" w:tplc="29F04C36" w:tentative="1">
      <w:start w:val="1"/>
      <w:numFmt w:val="lowerLetter"/>
      <w:lvlText w:val="%5."/>
      <w:lvlJc w:val="left"/>
      <w:pPr>
        <w:ind w:left="4680" w:hanging="360"/>
      </w:pPr>
    </w:lvl>
    <w:lvl w:ilvl="5" w:tplc="3BB29414" w:tentative="1">
      <w:start w:val="1"/>
      <w:numFmt w:val="lowerRoman"/>
      <w:lvlText w:val="%6."/>
      <w:lvlJc w:val="right"/>
      <w:pPr>
        <w:ind w:left="5400" w:hanging="180"/>
      </w:pPr>
    </w:lvl>
    <w:lvl w:ilvl="6" w:tplc="464088D6" w:tentative="1">
      <w:start w:val="1"/>
      <w:numFmt w:val="decimal"/>
      <w:lvlText w:val="%7."/>
      <w:lvlJc w:val="left"/>
      <w:pPr>
        <w:ind w:left="6120" w:hanging="360"/>
      </w:pPr>
    </w:lvl>
    <w:lvl w:ilvl="7" w:tplc="F10883EA" w:tentative="1">
      <w:start w:val="1"/>
      <w:numFmt w:val="lowerLetter"/>
      <w:lvlText w:val="%8."/>
      <w:lvlJc w:val="left"/>
      <w:pPr>
        <w:ind w:left="6840" w:hanging="360"/>
      </w:pPr>
    </w:lvl>
    <w:lvl w:ilvl="8" w:tplc="2830302C" w:tentative="1">
      <w:start w:val="1"/>
      <w:numFmt w:val="lowerRoman"/>
      <w:lvlText w:val="%9."/>
      <w:lvlJc w:val="right"/>
      <w:pPr>
        <w:ind w:left="7560" w:hanging="180"/>
      </w:pPr>
    </w:lvl>
  </w:abstractNum>
  <w:num w:numId="1">
    <w:abstractNumId w:val="13"/>
  </w:num>
  <w:num w:numId="2">
    <w:abstractNumId w:val="10"/>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activeWritingStyle w:appName="MSWord" w:lang="es-ES" w:vendorID="64" w:dllVersion="6" w:nlCheck="1" w:checkStyle="0"/>
  <w:activeWritingStyle w:appName="MSWord" w:lang="en-US" w:vendorID="64" w:dllVersion="6" w:nlCheck="1" w:checkStyle="1"/>
  <w:activeWritingStyle w:appName="MSWord" w:lang="en-US"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Number" w:val="999906"/>
    <w:docVar w:name="DocIDAuthor" w:val="True"/>
    <w:docVar w:name="DocIDClientMatter" w:val="False"/>
    <w:docVar w:name="DocIDDate" w:val="True"/>
    <w:docVar w:name="DocIDFirstPageFooter" w:val="True"/>
    <w:docVar w:name="DocIDLibrary" w:val="True"/>
    <w:docVar w:name="DocIDTime" w:val="True"/>
    <w:docVar w:name="DocIDType" w:val="FirstPageOnly"/>
    <w:docVar w:name="DocIDTypist" w:val="False"/>
    <w:docVar w:name="MatterNumber" w:val="00870"/>
  </w:docVars>
  <w:rsids>
    <w:rsidRoot w:val="0073533D"/>
    <w:rsid w:val="00016696"/>
    <w:rsid w:val="000B7C86"/>
    <w:rsid w:val="001022A1"/>
    <w:rsid w:val="0010253B"/>
    <w:rsid w:val="001360D9"/>
    <w:rsid w:val="00142AFD"/>
    <w:rsid w:val="001C4F78"/>
    <w:rsid w:val="001F21DD"/>
    <w:rsid w:val="001F439E"/>
    <w:rsid w:val="00384275"/>
    <w:rsid w:val="00404174"/>
    <w:rsid w:val="00420767"/>
    <w:rsid w:val="00474A8C"/>
    <w:rsid w:val="00500576"/>
    <w:rsid w:val="00517156"/>
    <w:rsid w:val="005E386D"/>
    <w:rsid w:val="0060325E"/>
    <w:rsid w:val="00610156"/>
    <w:rsid w:val="00615077"/>
    <w:rsid w:val="006F616B"/>
    <w:rsid w:val="0073533D"/>
    <w:rsid w:val="00775EB4"/>
    <w:rsid w:val="007F0D90"/>
    <w:rsid w:val="00811AF4"/>
    <w:rsid w:val="00827F8F"/>
    <w:rsid w:val="008805FA"/>
    <w:rsid w:val="008E4640"/>
    <w:rsid w:val="009D49F8"/>
    <w:rsid w:val="009E12AB"/>
    <w:rsid w:val="009E622F"/>
    <w:rsid w:val="00A305FF"/>
    <w:rsid w:val="00A452B7"/>
    <w:rsid w:val="00A8215C"/>
    <w:rsid w:val="00AB5F67"/>
    <w:rsid w:val="00AF5D93"/>
    <w:rsid w:val="00B65FBE"/>
    <w:rsid w:val="00BC2CA2"/>
    <w:rsid w:val="00C54BD3"/>
    <w:rsid w:val="00CA3C6F"/>
    <w:rsid w:val="00CA7DBE"/>
    <w:rsid w:val="00D07328"/>
    <w:rsid w:val="00D2106F"/>
    <w:rsid w:val="00D66510"/>
    <w:rsid w:val="00DC0D9B"/>
    <w:rsid w:val="00E60F1E"/>
    <w:rsid w:val="00EC6368"/>
    <w:rsid w:val="00F22AE3"/>
    <w:rsid w:val="00F24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43A0B"/>
  <w15:docId w15:val="{A6426832-2E94-48FD-9608-B5D33252C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816DB"/>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F811C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544F1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544F1A"/>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544F1A"/>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544F1A"/>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544F1A"/>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544F1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44F1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44F1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816DB"/>
    <w:rPr>
      <w:sz w:val="24"/>
      <w:szCs w:val="24"/>
    </w:rPr>
  </w:style>
  <w:style w:type="character" w:customStyle="1" w:styleId="BodyTextChar">
    <w:name w:val="Body Text Char"/>
    <w:basedOn w:val="DefaultParagraphFont"/>
    <w:link w:val="BodyText"/>
    <w:uiPriority w:val="1"/>
    <w:rsid w:val="00B816DB"/>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B816DB"/>
    <w:rPr>
      <w:sz w:val="20"/>
      <w:szCs w:val="20"/>
    </w:rPr>
  </w:style>
  <w:style w:type="character" w:customStyle="1" w:styleId="FootnoteTextChar">
    <w:name w:val="Footnote Text Char"/>
    <w:basedOn w:val="DefaultParagraphFont"/>
    <w:link w:val="FootnoteText"/>
    <w:uiPriority w:val="99"/>
    <w:rsid w:val="00B816DB"/>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B816DB"/>
    <w:rPr>
      <w:vertAlign w:val="superscript"/>
    </w:rPr>
  </w:style>
  <w:style w:type="paragraph" w:styleId="NoSpacing">
    <w:name w:val="No Spacing"/>
    <w:uiPriority w:val="1"/>
    <w:qFormat/>
    <w:rsid w:val="00DE0681"/>
    <w:pPr>
      <w:widowControl w:val="0"/>
      <w:autoSpaceDE w:val="0"/>
      <w:autoSpaceDN w:val="0"/>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945B4E"/>
    <w:pPr>
      <w:tabs>
        <w:tab w:val="center" w:pos="4680"/>
        <w:tab w:val="right" w:pos="9360"/>
      </w:tabs>
    </w:pPr>
  </w:style>
  <w:style w:type="character" w:customStyle="1" w:styleId="HeaderChar">
    <w:name w:val="Header Char"/>
    <w:basedOn w:val="DefaultParagraphFont"/>
    <w:link w:val="Header"/>
    <w:uiPriority w:val="99"/>
    <w:rsid w:val="00945B4E"/>
    <w:rPr>
      <w:rFonts w:ascii="Times New Roman" w:eastAsia="Times New Roman" w:hAnsi="Times New Roman" w:cs="Times New Roman"/>
    </w:rPr>
  </w:style>
  <w:style w:type="paragraph" w:styleId="Footer">
    <w:name w:val="footer"/>
    <w:basedOn w:val="Normal"/>
    <w:link w:val="FooterChar"/>
    <w:uiPriority w:val="99"/>
    <w:unhideWhenUsed/>
    <w:rsid w:val="00945B4E"/>
    <w:pPr>
      <w:tabs>
        <w:tab w:val="center" w:pos="4680"/>
        <w:tab w:val="right" w:pos="9360"/>
      </w:tabs>
    </w:pPr>
  </w:style>
  <w:style w:type="character" w:customStyle="1" w:styleId="FooterChar">
    <w:name w:val="Footer Char"/>
    <w:basedOn w:val="DefaultParagraphFont"/>
    <w:link w:val="Footer"/>
    <w:uiPriority w:val="99"/>
    <w:rsid w:val="00945B4E"/>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404CD"/>
    <w:rPr>
      <w:sz w:val="16"/>
      <w:szCs w:val="16"/>
    </w:rPr>
  </w:style>
  <w:style w:type="paragraph" w:styleId="CommentText">
    <w:name w:val="annotation text"/>
    <w:basedOn w:val="Normal"/>
    <w:link w:val="CommentTextChar"/>
    <w:uiPriority w:val="99"/>
    <w:unhideWhenUsed/>
    <w:rsid w:val="00E404CD"/>
    <w:rPr>
      <w:sz w:val="20"/>
      <w:szCs w:val="20"/>
    </w:rPr>
  </w:style>
  <w:style w:type="character" w:customStyle="1" w:styleId="CommentTextChar">
    <w:name w:val="Comment Text Char"/>
    <w:basedOn w:val="DefaultParagraphFont"/>
    <w:link w:val="CommentText"/>
    <w:uiPriority w:val="99"/>
    <w:rsid w:val="00E404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04CD"/>
    <w:rPr>
      <w:b/>
      <w:bCs/>
    </w:rPr>
  </w:style>
  <w:style w:type="character" w:customStyle="1" w:styleId="CommentSubjectChar">
    <w:name w:val="Comment Subject Char"/>
    <w:basedOn w:val="CommentTextChar"/>
    <w:link w:val="CommentSubject"/>
    <w:uiPriority w:val="99"/>
    <w:semiHidden/>
    <w:rsid w:val="00E404C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404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4CD"/>
    <w:rPr>
      <w:rFonts w:ascii="Segoe UI" w:eastAsia="Times New Roman" w:hAnsi="Segoe UI" w:cs="Segoe UI"/>
      <w:sz w:val="18"/>
      <w:szCs w:val="18"/>
    </w:rPr>
  </w:style>
  <w:style w:type="paragraph" w:styleId="Revision">
    <w:name w:val="Revision"/>
    <w:hidden/>
    <w:uiPriority w:val="99"/>
    <w:semiHidden/>
    <w:rsid w:val="00230EB9"/>
    <w:pPr>
      <w:spacing w:after="0"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4602C7"/>
    <w:rPr>
      <w:color w:val="0563C1" w:themeColor="hyperlink"/>
      <w:u w:val="single"/>
    </w:rPr>
  </w:style>
  <w:style w:type="paragraph" w:customStyle="1" w:styleId="20sp1">
    <w:name w:val="_2.0sp 1&quot;"/>
    <w:basedOn w:val="Normal"/>
    <w:rsid w:val="004602C7"/>
    <w:pPr>
      <w:widowControl/>
      <w:suppressAutoHyphens/>
      <w:autoSpaceDE/>
      <w:autoSpaceDN/>
      <w:spacing w:after="480" w:line="480" w:lineRule="auto"/>
      <w:ind w:firstLine="1440"/>
    </w:pPr>
    <w:rPr>
      <w:rFonts w:eastAsia="SimSun"/>
      <w:sz w:val="24"/>
      <w:szCs w:val="20"/>
    </w:rPr>
  </w:style>
  <w:style w:type="paragraph" w:styleId="ListParagraph">
    <w:name w:val="List Paragraph"/>
    <w:basedOn w:val="Normal"/>
    <w:uiPriority w:val="34"/>
    <w:qFormat/>
    <w:rsid w:val="004602C7"/>
    <w:pPr>
      <w:widowControl/>
      <w:autoSpaceDE/>
      <w:autoSpaceDN/>
      <w:ind w:left="720"/>
    </w:pPr>
    <w:rPr>
      <w:rFonts w:ascii="Calibri" w:eastAsiaTheme="minorHAnsi" w:hAnsi="Calibri"/>
    </w:rPr>
  </w:style>
  <w:style w:type="paragraph" w:customStyle="1" w:styleId="Default">
    <w:name w:val="Default"/>
    <w:rsid w:val="004602C7"/>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39"/>
    <w:rsid w:val="00432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811C8"/>
    <w:rPr>
      <w:rFonts w:asciiTheme="majorHAnsi" w:eastAsiaTheme="majorEastAsia" w:hAnsiTheme="majorHAnsi" w:cstheme="majorBidi"/>
      <w:b/>
      <w:bCs/>
      <w:color w:val="2E74B5" w:themeColor="accent1" w:themeShade="BF"/>
      <w:sz w:val="28"/>
      <w:szCs w:val="28"/>
    </w:rPr>
  </w:style>
  <w:style w:type="character" w:customStyle="1" w:styleId="DocID">
    <w:name w:val="DocID"/>
    <w:basedOn w:val="DefaultParagraphFont"/>
    <w:rsid w:val="00FF3B8A"/>
    <w:rPr>
      <w:rFonts w:ascii="Arial" w:hAnsi="Arial" w:cs="Arial"/>
      <w:b w:val="0"/>
      <w:i w:val="0"/>
      <w:caps w:val="0"/>
      <w:vanish w:val="0"/>
      <w:color w:val="000000"/>
      <w:sz w:val="12"/>
      <w:szCs w:val="24"/>
      <w:u w:val="none"/>
    </w:rPr>
  </w:style>
  <w:style w:type="paragraph" w:styleId="Bibliography">
    <w:name w:val="Bibliography"/>
    <w:basedOn w:val="Normal"/>
    <w:next w:val="Normal"/>
    <w:uiPriority w:val="37"/>
    <w:semiHidden/>
    <w:unhideWhenUsed/>
    <w:rsid w:val="00544F1A"/>
  </w:style>
  <w:style w:type="paragraph" w:styleId="BlockText">
    <w:name w:val="Block Text"/>
    <w:basedOn w:val="Normal"/>
    <w:uiPriority w:val="99"/>
    <w:semiHidden/>
    <w:unhideWhenUsed/>
    <w:rsid w:val="00544F1A"/>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544F1A"/>
    <w:pPr>
      <w:spacing w:after="120" w:line="480" w:lineRule="auto"/>
    </w:pPr>
  </w:style>
  <w:style w:type="character" w:customStyle="1" w:styleId="BodyText2Char">
    <w:name w:val="Body Text 2 Char"/>
    <w:basedOn w:val="DefaultParagraphFont"/>
    <w:link w:val="BodyText2"/>
    <w:uiPriority w:val="99"/>
    <w:semiHidden/>
    <w:rsid w:val="00544F1A"/>
    <w:rPr>
      <w:rFonts w:ascii="Times New Roman" w:eastAsia="Times New Roman" w:hAnsi="Times New Roman" w:cs="Times New Roman"/>
    </w:rPr>
  </w:style>
  <w:style w:type="paragraph" w:styleId="BodyText3">
    <w:name w:val="Body Text 3"/>
    <w:basedOn w:val="Normal"/>
    <w:link w:val="BodyText3Char"/>
    <w:uiPriority w:val="99"/>
    <w:semiHidden/>
    <w:unhideWhenUsed/>
    <w:rsid w:val="00544F1A"/>
    <w:pPr>
      <w:spacing w:after="120"/>
    </w:pPr>
    <w:rPr>
      <w:sz w:val="16"/>
      <w:szCs w:val="16"/>
    </w:rPr>
  </w:style>
  <w:style w:type="character" w:customStyle="1" w:styleId="BodyText3Char">
    <w:name w:val="Body Text 3 Char"/>
    <w:basedOn w:val="DefaultParagraphFont"/>
    <w:link w:val="BodyText3"/>
    <w:uiPriority w:val="99"/>
    <w:semiHidden/>
    <w:rsid w:val="00544F1A"/>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544F1A"/>
    <w:pPr>
      <w:ind w:firstLine="360"/>
    </w:pPr>
    <w:rPr>
      <w:sz w:val="22"/>
      <w:szCs w:val="22"/>
    </w:rPr>
  </w:style>
  <w:style w:type="character" w:customStyle="1" w:styleId="BodyTextFirstIndentChar">
    <w:name w:val="Body Text First Indent Char"/>
    <w:basedOn w:val="BodyTextChar"/>
    <w:link w:val="BodyTextFirstIndent"/>
    <w:uiPriority w:val="99"/>
    <w:semiHidden/>
    <w:rsid w:val="00544F1A"/>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544F1A"/>
    <w:pPr>
      <w:spacing w:after="120"/>
      <w:ind w:left="360"/>
    </w:pPr>
  </w:style>
  <w:style w:type="character" w:customStyle="1" w:styleId="BodyTextIndentChar">
    <w:name w:val="Body Text Indent Char"/>
    <w:basedOn w:val="DefaultParagraphFont"/>
    <w:link w:val="BodyTextIndent"/>
    <w:uiPriority w:val="99"/>
    <w:semiHidden/>
    <w:rsid w:val="00544F1A"/>
    <w:rPr>
      <w:rFonts w:ascii="Times New Roman" w:eastAsia="Times New Roman" w:hAnsi="Times New Roman" w:cs="Times New Roman"/>
    </w:rPr>
  </w:style>
  <w:style w:type="paragraph" w:styleId="BodyTextFirstIndent2">
    <w:name w:val="Body Text First Indent 2"/>
    <w:basedOn w:val="BodyTextIndent"/>
    <w:link w:val="BodyTextFirstIndent2Char"/>
    <w:uiPriority w:val="99"/>
    <w:semiHidden/>
    <w:unhideWhenUsed/>
    <w:rsid w:val="00544F1A"/>
    <w:pPr>
      <w:spacing w:after="0"/>
      <w:ind w:firstLine="360"/>
    </w:pPr>
  </w:style>
  <w:style w:type="character" w:customStyle="1" w:styleId="BodyTextFirstIndent2Char">
    <w:name w:val="Body Text First Indent 2 Char"/>
    <w:basedOn w:val="BodyTextIndentChar"/>
    <w:link w:val="BodyTextFirstIndent2"/>
    <w:uiPriority w:val="99"/>
    <w:semiHidden/>
    <w:rsid w:val="00544F1A"/>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rsid w:val="00544F1A"/>
    <w:pPr>
      <w:spacing w:after="120" w:line="480" w:lineRule="auto"/>
      <w:ind w:left="360"/>
    </w:pPr>
  </w:style>
  <w:style w:type="character" w:customStyle="1" w:styleId="BodyTextIndent2Char">
    <w:name w:val="Body Text Indent 2 Char"/>
    <w:basedOn w:val="DefaultParagraphFont"/>
    <w:link w:val="BodyTextIndent2"/>
    <w:uiPriority w:val="99"/>
    <w:semiHidden/>
    <w:rsid w:val="00544F1A"/>
    <w:rPr>
      <w:rFonts w:ascii="Times New Roman" w:eastAsia="Times New Roman" w:hAnsi="Times New Roman" w:cs="Times New Roman"/>
    </w:rPr>
  </w:style>
  <w:style w:type="paragraph" w:styleId="BodyTextIndent3">
    <w:name w:val="Body Text Indent 3"/>
    <w:basedOn w:val="Normal"/>
    <w:link w:val="BodyTextIndent3Char"/>
    <w:uiPriority w:val="99"/>
    <w:semiHidden/>
    <w:unhideWhenUsed/>
    <w:rsid w:val="00544F1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44F1A"/>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544F1A"/>
    <w:pPr>
      <w:spacing w:after="200"/>
    </w:pPr>
    <w:rPr>
      <w:b/>
      <w:bCs/>
      <w:color w:val="5B9BD5" w:themeColor="accent1"/>
      <w:sz w:val="18"/>
      <w:szCs w:val="18"/>
    </w:rPr>
  </w:style>
  <w:style w:type="paragraph" w:styleId="Closing">
    <w:name w:val="Closing"/>
    <w:basedOn w:val="Normal"/>
    <w:link w:val="ClosingChar"/>
    <w:uiPriority w:val="99"/>
    <w:semiHidden/>
    <w:unhideWhenUsed/>
    <w:rsid w:val="00544F1A"/>
    <w:pPr>
      <w:ind w:left="4320"/>
    </w:pPr>
  </w:style>
  <w:style w:type="character" w:customStyle="1" w:styleId="ClosingChar">
    <w:name w:val="Closing Char"/>
    <w:basedOn w:val="DefaultParagraphFont"/>
    <w:link w:val="Closing"/>
    <w:uiPriority w:val="99"/>
    <w:semiHidden/>
    <w:rsid w:val="00544F1A"/>
    <w:rPr>
      <w:rFonts w:ascii="Times New Roman" w:eastAsia="Times New Roman" w:hAnsi="Times New Roman" w:cs="Times New Roman"/>
    </w:rPr>
  </w:style>
  <w:style w:type="paragraph" w:styleId="Date">
    <w:name w:val="Date"/>
    <w:basedOn w:val="Normal"/>
    <w:next w:val="Normal"/>
    <w:link w:val="DateChar"/>
    <w:uiPriority w:val="99"/>
    <w:semiHidden/>
    <w:unhideWhenUsed/>
    <w:rsid w:val="00544F1A"/>
  </w:style>
  <w:style w:type="character" w:customStyle="1" w:styleId="DateChar">
    <w:name w:val="Date Char"/>
    <w:basedOn w:val="DefaultParagraphFont"/>
    <w:link w:val="Date"/>
    <w:uiPriority w:val="99"/>
    <w:semiHidden/>
    <w:rsid w:val="00544F1A"/>
    <w:rPr>
      <w:rFonts w:ascii="Times New Roman" w:eastAsia="Times New Roman" w:hAnsi="Times New Roman" w:cs="Times New Roman"/>
    </w:rPr>
  </w:style>
  <w:style w:type="paragraph" w:styleId="DocumentMap">
    <w:name w:val="Document Map"/>
    <w:basedOn w:val="Normal"/>
    <w:link w:val="DocumentMapChar"/>
    <w:uiPriority w:val="99"/>
    <w:semiHidden/>
    <w:unhideWhenUsed/>
    <w:rsid w:val="00544F1A"/>
    <w:rPr>
      <w:rFonts w:ascii="Tahoma" w:hAnsi="Tahoma" w:cs="Tahoma"/>
      <w:sz w:val="16"/>
      <w:szCs w:val="16"/>
    </w:rPr>
  </w:style>
  <w:style w:type="character" w:customStyle="1" w:styleId="DocumentMapChar">
    <w:name w:val="Document Map Char"/>
    <w:basedOn w:val="DefaultParagraphFont"/>
    <w:link w:val="DocumentMap"/>
    <w:uiPriority w:val="99"/>
    <w:semiHidden/>
    <w:rsid w:val="00544F1A"/>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544F1A"/>
  </w:style>
  <w:style w:type="character" w:customStyle="1" w:styleId="E-mailSignatureChar">
    <w:name w:val="E-mail Signature Char"/>
    <w:basedOn w:val="DefaultParagraphFont"/>
    <w:link w:val="E-mailSignature"/>
    <w:uiPriority w:val="99"/>
    <w:semiHidden/>
    <w:rsid w:val="00544F1A"/>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544F1A"/>
    <w:rPr>
      <w:sz w:val="20"/>
      <w:szCs w:val="20"/>
    </w:rPr>
  </w:style>
  <w:style w:type="character" w:customStyle="1" w:styleId="EndnoteTextChar">
    <w:name w:val="Endnote Text Char"/>
    <w:basedOn w:val="DefaultParagraphFont"/>
    <w:link w:val="EndnoteText"/>
    <w:uiPriority w:val="99"/>
    <w:semiHidden/>
    <w:rsid w:val="00544F1A"/>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544F1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4F1A"/>
    <w:rPr>
      <w:rFonts w:asciiTheme="majorHAnsi" w:eastAsiaTheme="majorEastAsia" w:hAnsiTheme="majorHAnsi" w:cstheme="majorBidi"/>
      <w:sz w:val="20"/>
      <w:szCs w:val="20"/>
    </w:rPr>
  </w:style>
  <w:style w:type="character" w:customStyle="1" w:styleId="Heading2Char">
    <w:name w:val="Heading 2 Char"/>
    <w:basedOn w:val="DefaultParagraphFont"/>
    <w:link w:val="Heading2"/>
    <w:uiPriority w:val="9"/>
    <w:semiHidden/>
    <w:rsid w:val="00544F1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544F1A"/>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544F1A"/>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544F1A"/>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544F1A"/>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544F1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44F1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44F1A"/>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544F1A"/>
    <w:rPr>
      <w:i/>
      <w:iCs/>
    </w:rPr>
  </w:style>
  <w:style w:type="character" w:customStyle="1" w:styleId="HTMLAddressChar">
    <w:name w:val="HTML Address Char"/>
    <w:basedOn w:val="DefaultParagraphFont"/>
    <w:link w:val="HTMLAddress"/>
    <w:uiPriority w:val="99"/>
    <w:semiHidden/>
    <w:rsid w:val="00544F1A"/>
    <w:rPr>
      <w:rFonts w:ascii="Times New Roman" w:eastAsia="Times New Roman" w:hAnsi="Times New Roman" w:cs="Times New Roman"/>
      <w:i/>
      <w:iCs/>
    </w:rPr>
  </w:style>
  <w:style w:type="paragraph" w:styleId="HTMLPreformatted">
    <w:name w:val="HTML Preformatted"/>
    <w:basedOn w:val="Normal"/>
    <w:link w:val="HTMLPreformattedChar"/>
    <w:uiPriority w:val="99"/>
    <w:semiHidden/>
    <w:unhideWhenUsed/>
    <w:rsid w:val="00544F1A"/>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44F1A"/>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544F1A"/>
    <w:pPr>
      <w:ind w:left="220" w:hanging="220"/>
    </w:pPr>
  </w:style>
  <w:style w:type="paragraph" w:styleId="Index2">
    <w:name w:val="index 2"/>
    <w:basedOn w:val="Normal"/>
    <w:next w:val="Normal"/>
    <w:autoRedefine/>
    <w:uiPriority w:val="99"/>
    <w:semiHidden/>
    <w:unhideWhenUsed/>
    <w:rsid w:val="00544F1A"/>
    <w:pPr>
      <w:ind w:left="440" w:hanging="220"/>
    </w:pPr>
  </w:style>
  <w:style w:type="paragraph" w:styleId="Index3">
    <w:name w:val="index 3"/>
    <w:basedOn w:val="Normal"/>
    <w:next w:val="Normal"/>
    <w:autoRedefine/>
    <w:uiPriority w:val="99"/>
    <w:semiHidden/>
    <w:unhideWhenUsed/>
    <w:rsid w:val="00544F1A"/>
    <w:pPr>
      <w:ind w:left="660" w:hanging="220"/>
    </w:pPr>
  </w:style>
  <w:style w:type="paragraph" w:styleId="Index4">
    <w:name w:val="index 4"/>
    <w:basedOn w:val="Normal"/>
    <w:next w:val="Normal"/>
    <w:autoRedefine/>
    <w:uiPriority w:val="99"/>
    <w:semiHidden/>
    <w:unhideWhenUsed/>
    <w:rsid w:val="00544F1A"/>
    <w:pPr>
      <w:ind w:left="880" w:hanging="220"/>
    </w:pPr>
  </w:style>
  <w:style w:type="paragraph" w:styleId="Index5">
    <w:name w:val="index 5"/>
    <w:basedOn w:val="Normal"/>
    <w:next w:val="Normal"/>
    <w:autoRedefine/>
    <w:uiPriority w:val="99"/>
    <w:semiHidden/>
    <w:unhideWhenUsed/>
    <w:rsid w:val="00544F1A"/>
    <w:pPr>
      <w:ind w:left="1100" w:hanging="220"/>
    </w:pPr>
  </w:style>
  <w:style w:type="paragraph" w:styleId="Index6">
    <w:name w:val="index 6"/>
    <w:basedOn w:val="Normal"/>
    <w:next w:val="Normal"/>
    <w:autoRedefine/>
    <w:uiPriority w:val="99"/>
    <w:semiHidden/>
    <w:unhideWhenUsed/>
    <w:rsid w:val="00544F1A"/>
    <w:pPr>
      <w:ind w:left="1320" w:hanging="220"/>
    </w:pPr>
  </w:style>
  <w:style w:type="paragraph" w:styleId="Index7">
    <w:name w:val="index 7"/>
    <w:basedOn w:val="Normal"/>
    <w:next w:val="Normal"/>
    <w:autoRedefine/>
    <w:uiPriority w:val="99"/>
    <w:semiHidden/>
    <w:unhideWhenUsed/>
    <w:rsid w:val="00544F1A"/>
    <w:pPr>
      <w:ind w:left="1540" w:hanging="220"/>
    </w:pPr>
  </w:style>
  <w:style w:type="paragraph" w:styleId="Index8">
    <w:name w:val="index 8"/>
    <w:basedOn w:val="Normal"/>
    <w:next w:val="Normal"/>
    <w:autoRedefine/>
    <w:uiPriority w:val="99"/>
    <w:semiHidden/>
    <w:unhideWhenUsed/>
    <w:rsid w:val="00544F1A"/>
    <w:pPr>
      <w:ind w:left="1760" w:hanging="220"/>
    </w:pPr>
  </w:style>
  <w:style w:type="paragraph" w:styleId="Index9">
    <w:name w:val="index 9"/>
    <w:basedOn w:val="Normal"/>
    <w:next w:val="Normal"/>
    <w:autoRedefine/>
    <w:uiPriority w:val="99"/>
    <w:semiHidden/>
    <w:unhideWhenUsed/>
    <w:rsid w:val="00544F1A"/>
    <w:pPr>
      <w:ind w:left="1980" w:hanging="220"/>
    </w:pPr>
  </w:style>
  <w:style w:type="paragraph" w:styleId="IndexHeading">
    <w:name w:val="index heading"/>
    <w:basedOn w:val="Normal"/>
    <w:next w:val="Index1"/>
    <w:uiPriority w:val="99"/>
    <w:semiHidden/>
    <w:unhideWhenUsed/>
    <w:rsid w:val="00544F1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44F1A"/>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544F1A"/>
    <w:rPr>
      <w:rFonts w:ascii="Times New Roman" w:eastAsia="Times New Roman" w:hAnsi="Times New Roman" w:cs="Times New Roman"/>
      <w:b/>
      <w:bCs/>
      <w:i/>
      <w:iCs/>
      <w:color w:val="5B9BD5" w:themeColor="accent1"/>
    </w:rPr>
  </w:style>
  <w:style w:type="paragraph" w:styleId="List">
    <w:name w:val="List"/>
    <w:basedOn w:val="Normal"/>
    <w:uiPriority w:val="99"/>
    <w:semiHidden/>
    <w:unhideWhenUsed/>
    <w:rsid w:val="00544F1A"/>
    <w:pPr>
      <w:ind w:left="360" w:hanging="360"/>
      <w:contextualSpacing/>
    </w:pPr>
  </w:style>
  <w:style w:type="paragraph" w:styleId="List2">
    <w:name w:val="List 2"/>
    <w:basedOn w:val="Normal"/>
    <w:uiPriority w:val="99"/>
    <w:semiHidden/>
    <w:unhideWhenUsed/>
    <w:rsid w:val="00544F1A"/>
    <w:pPr>
      <w:ind w:left="720" w:hanging="360"/>
      <w:contextualSpacing/>
    </w:pPr>
  </w:style>
  <w:style w:type="paragraph" w:styleId="List3">
    <w:name w:val="List 3"/>
    <w:basedOn w:val="Normal"/>
    <w:uiPriority w:val="99"/>
    <w:semiHidden/>
    <w:unhideWhenUsed/>
    <w:rsid w:val="00544F1A"/>
    <w:pPr>
      <w:ind w:left="1080" w:hanging="360"/>
      <w:contextualSpacing/>
    </w:pPr>
  </w:style>
  <w:style w:type="paragraph" w:styleId="List4">
    <w:name w:val="List 4"/>
    <w:basedOn w:val="Normal"/>
    <w:uiPriority w:val="99"/>
    <w:semiHidden/>
    <w:unhideWhenUsed/>
    <w:rsid w:val="00544F1A"/>
    <w:pPr>
      <w:ind w:left="1440" w:hanging="360"/>
      <w:contextualSpacing/>
    </w:pPr>
  </w:style>
  <w:style w:type="paragraph" w:styleId="List5">
    <w:name w:val="List 5"/>
    <w:basedOn w:val="Normal"/>
    <w:uiPriority w:val="99"/>
    <w:semiHidden/>
    <w:unhideWhenUsed/>
    <w:rsid w:val="00544F1A"/>
    <w:pPr>
      <w:ind w:left="1800" w:hanging="360"/>
      <w:contextualSpacing/>
    </w:pPr>
  </w:style>
  <w:style w:type="paragraph" w:styleId="ListBullet">
    <w:name w:val="List Bullet"/>
    <w:basedOn w:val="Normal"/>
    <w:uiPriority w:val="99"/>
    <w:semiHidden/>
    <w:unhideWhenUsed/>
    <w:rsid w:val="00544F1A"/>
    <w:pPr>
      <w:numPr>
        <w:numId w:val="5"/>
      </w:numPr>
      <w:contextualSpacing/>
    </w:pPr>
  </w:style>
  <w:style w:type="paragraph" w:styleId="ListBullet2">
    <w:name w:val="List Bullet 2"/>
    <w:basedOn w:val="Normal"/>
    <w:uiPriority w:val="99"/>
    <w:semiHidden/>
    <w:unhideWhenUsed/>
    <w:rsid w:val="00544F1A"/>
    <w:pPr>
      <w:numPr>
        <w:numId w:val="6"/>
      </w:numPr>
      <w:contextualSpacing/>
    </w:pPr>
  </w:style>
  <w:style w:type="paragraph" w:styleId="ListBullet3">
    <w:name w:val="List Bullet 3"/>
    <w:basedOn w:val="Normal"/>
    <w:uiPriority w:val="99"/>
    <w:semiHidden/>
    <w:unhideWhenUsed/>
    <w:rsid w:val="00544F1A"/>
    <w:pPr>
      <w:numPr>
        <w:numId w:val="7"/>
      </w:numPr>
      <w:contextualSpacing/>
    </w:pPr>
  </w:style>
  <w:style w:type="paragraph" w:styleId="ListBullet4">
    <w:name w:val="List Bullet 4"/>
    <w:basedOn w:val="Normal"/>
    <w:uiPriority w:val="99"/>
    <w:semiHidden/>
    <w:unhideWhenUsed/>
    <w:rsid w:val="00544F1A"/>
    <w:pPr>
      <w:numPr>
        <w:numId w:val="8"/>
      </w:numPr>
      <w:contextualSpacing/>
    </w:pPr>
  </w:style>
  <w:style w:type="paragraph" w:styleId="ListBullet5">
    <w:name w:val="List Bullet 5"/>
    <w:basedOn w:val="Normal"/>
    <w:uiPriority w:val="99"/>
    <w:semiHidden/>
    <w:unhideWhenUsed/>
    <w:rsid w:val="00544F1A"/>
    <w:pPr>
      <w:numPr>
        <w:numId w:val="9"/>
      </w:numPr>
      <w:contextualSpacing/>
    </w:pPr>
  </w:style>
  <w:style w:type="paragraph" w:styleId="ListContinue">
    <w:name w:val="List Continue"/>
    <w:basedOn w:val="Normal"/>
    <w:uiPriority w:val="99"/>
    <w:semiHidden/>
    <w:unhideWhenUsed/>
    <w:rsid w:val="00544F1A"/>
    <w:pPr>
      <w:spacing w:after="120"/>
      <w:ind w:left="360"/>
      <w:contextualSpacing/>
    </w:pPr>
  </w:style>
  <w:style w:type="paragraph" w:styleId="ListContinue2">
    <w:name w:val="List Continue 2"/>
    <w:basedOn w:val="Normal"/>
    <w:uiPriority w:val="99"/>
    <w:semiHidden/>
    <w:unhideWhenUsed/>
    <w:rsid w:val="00544F1A"/>
    <w:pPr>
      <w:spacing w:after="120"/>
      <w:ind w:left="720"/>
      <w:contextualSpacing/>
    </w:pPr>
  </w:style>
  <w:style w:type="paragraph" w:styleId="ListContinue3">
    <w:name w:val="List Continue 3"/>
    <w:basedOn w:val="Normal"/>
    <w:uiPriority w:val="99"/>
    <w:semiHidden/>
    <w:unhideWhenUsed/>
    <w:rsid w:val="00544F1A"/>
    <w:pPr>
      <w:spacing w:after="120"/>
      <w:ind w:left="1080"/>
      <w:contextualSpacing/>
    </w:pPr>
  </w:style>
  <w:style w:type="paragraph" w:styleId="ListContinue4">
    <w:name w:val="List Continue 4"/>
    <w:basedOn w:val="Normal"/>
    <w:uiPriority w:val="99"/>
    <w:semiHidden/>
    <w:unhideWhenUsed/>
    <w:rsid w:val="00544F1A"/>
    <w:pPr>
      <w:spacing w:after="120"/>
      <w:ind w:left="1440"/>
      <w:contextualSpacing/>
    </w:pPr>
  </w:style>
  <w:style w:type="paragraph" w:styleId="ListContinue5">
    <w:name w:val="List Continue 5"/>
    <w:basedOn w:val="Normal"/>
    <w:uiPriority w:val="99"/>
    <w:semiHidden/>
    <w:unhideWhenUsed/>
    <w:rsid w:val="00544F1A"/>
    <w:pPr>
      <w:spacing w:after="120"/>
      <w:ind w:left="1800"/>
      <w:contextualSpacing/>
    </w:pPr>
  </w:style>
  <w:style w:type="paragraph" w:styleId="ListNumber">
    <w:name w:val="List Number"/>
    <w:basedOn w:val="Normal"/>
    <w:uiPriority w:val="99"/>
    <w:semiHidden/>
    <w:unhideWhenUsed/>
    <w:rsid w:val="00544F1A"/>
    <w:pPr>
      <w:numPr>
        <w:numId w:val="10"/>
      </w:numPr>
      <w:contextualSpacing/>
    </w:pPr>
  </w:style>
  <w:style w:type="paragraph" w:styleId="ListNumber2">
    <w:name w:val="List Number 2"/>
    <w:basedOn w:val="Normal"/>
    <w:uiPriority w:val="99"/>
    <w:semiHidden/>
    <w:unhideWhenUsed/>
    <w:rsid w:val="00544F1A"/>
    <w:pPr>
      <w:numPr>
        <w:numId w:val="11"/>
      </w:numPr>
      <w:contextualSpacing/>
    </w:pPr>
  </w:style>
  <w:style w:type="paragraph" w:styleId="ListNumber3">
    <w:name w:val="List Number 3"/>
    <w:basedOn w:val="Normal"/>
    <w:uiPriority w:val="99"/>
    <w:semiHidden/>
    <w:unhideWhenUsed/>
    <w:rsid w:val="00544F1A"/>
    <w:pPr>
      <w:numPr>
        <w:numId w:val="12"/>
      </w:numPr>
      <w:contextualSpacing/>
    </w:pPr>
  </w:style>
  <w:style w:type="paragraph" w:styleId="ListNumber4">
    <w:name w:val="List Number 4"/>
    <w:basedOn w:val="Normal"/>
    <w:uiPriority w:val="99"/>
    <w:semiHidden/>
    <w:unhideWhenUsed/>
    <w:rsid w:val="00544F1A"/>
    <w:pPr>
      <w:numPr>
        <w:numId w:val="13"/>
      </w:numPr>
      <w:contextualSpacing/>
    </w:pPr>
  </w:style>
  <w:style w:type="paragraph" w:styleId="ListNumber5">
    <w:name w:val="List Number 5"/>
    <w:basedOn w:val="Normal"/>
    <w:uiPriority w:val="99"/>
    <w:semiHidden/>
    <w:unhideWhenUsed/>
    <w:rsid w:val="00544F1A"/>
    <w:pPr>
      <w:numPr>
        <w:numId w:val="14"/>
      </w:numPr>
      <w:contextualSpacing/>
    </w:pPr>
  </w:style>
  <w:style w:type="paragraph" w:styleId="MacroText">
    <w:name w:val="macro"/>
    <w:link w:val="MacroTextChar"/>
    <w:uiPriority w:val="99"/>
    <w:semiHidden/>
    <w:unhideWhenUsed/>
    <w:rsid w:val="00544F1A"/>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544F1A"/>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544F1A"/>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4F1A"/>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44F1A"/>
    <w:rPr>
      <w:sz w:val="24"/>
      <w:szCs w:val="24"/>
    </w:rPr>
  </w:style>
  <w:style w:type="paragraph" w:styleId="NormalIndent">
    <w:name w:val="Normal Indent"/>
    <w:basedOn w:val="Normal"/>
    <w:uiPriority w:val="99"/>
    <w:semiHidden/>
    <w:unhideWhenUsed/>
    <w:rsid w:val="00544F1A"/>
    <w:pPr>
      <w:ind w:left="720"/>
    </w:pPr>
  </w:style>
  <w:style w:type="paragraph" w:customStyle="1" w:styleId="NoteHeading1">
    <w:name w:val="Note Heading1"/>
    <w:basedOn w:val="Normal"/>
    <w:next w:val="Normal"/>
    <w:link w:val="NoteHeadingChar"/>
    <w:uiPriority w:val="99"/>
    <w:semiHidden/>
    <w:unhideWhenUsed/>
    <w:rsid w:val="00544F1A"/>
  </w:style>
  <w:style w:type="character" w:customStyle="1" w:styleId="NoteHeadingChar">
    <w:name w:val="Note Heading Char"/>
    <w:basedOn w:val="DefaultParagraphFont"/>
    <w:link w:val="NoteHeading1"/>
    <w:uiPriority w:val="99"/>
    <w:semiHidden/>
    <w:rsid w:val="00544F1A"/>
    <w:rPr>
      <w:rFonts w:ascii="Times New Roman" w:eastAsia="Times New Roman" w:hAnsi="Times New Roman" w:cs="Times New Roman"/>
    </w:rPr>
  </w:style>
  <w:style w:type="paragraph" w:styleId="PlainText">
    <w:name w:val="Plain Text"/>
    <w:basedOn w:val="Normal"/>
    <w:link w:val="PlainTextChar"/>
    <w:uiPriority w:val="99"/>
    <w:semiHidden/>
    <w:unhideWhenUsed/>
    <w:rsid w:val="00544F1A"/>
    <w:rPr>
      <w:rFonts w:ascii="Consolas" w:hAnsi="Consolas"/>
      <w:sz w:val="21"/>
      <w:szCs w:val="21"/>
    </w:rPr>
  </w:style>
  <w:style w:type="character" w:customStyle="1" w:styleId="PlainTextChar">
    <w:name w:val="Plain Text Char"/>
    <w:basedOn w:val="DefaultParagraphFont"/>
    <w:link w:val="PlainText"/>
    <w:uiPriority w:val="99"/>
    <w:semiHidden/>
    <w:rsid w:val="00544F1A"/>
    <w:rPr>
      <w:rFonts w:ascii="Consolas" w:eastAsia="Times New Roman" w:hAnsi="Consolas" w:cs="Times New Roman"/>
      <w:sz w:val="21"/>
      <w:szCs w:val="21"/>
    </w:rPr>
  </w:style>
  <w:style w:type="paragraph" w:styleId="Quote">
    <w:name w:val="Quote"/>
    <w:basedOn w:val="Normal"/>
    <w:next w:val="Normal"/>
    <w:link w:val="QuoteChar"/>
    <w:uiPriority w:val="29"/>
    <w:qFormat/>
    <w:rsid w:val="00544F1A"/>
    <w:rPr>
      <w:i/>
      <w:iCs/>
      <w:color w:val="000000" w:themeColor="text1"/>
    </w:rPr>
  </w:style>
  <w:style w:type="character" w:customStyle="1" w:styleId="QuoteChar">
    <w:name w:val="Quote Char"/>
    <w:basedOn w:val="DefaultParagraphFont"/>
    <w:link w:val="Quote"/>
    <w:uiPriority w:val="29"/>
    <w:rsid w:val="00544F1A"/>
    <w:rPr>
      <w:rFonts w:ascii="Times New Roman" w:eastAsia="Times New Roman" w:hAnsi="Times New Roman" w:cs="Times New Roman"/>
      <w:i/>
      <w:iCs/>
      <w:color w:val="000000" w:themeColor="text1"/>
    </w:rPr>
  </w:style>
  <w:style w:type="paragraph" w:styleId="Salutation">
    <w:name w:val="Salutation"/>
    <w:basedOn w:val="Normal"/>
    <w:next w:val="Normal"/>
    <w:link w:val="SalutationChar"/>
    <w:uiPriority w:val="99"/>
    <w:semiHidden/>
    <w:unhideWhenUsed/>
    <w:rsid w:val="00544F1A"/>
  </w:style>
  <w:style w:type="character" w:customStyle="1" w:styleId="SalutationChar">
    <w:name w:val="Salutation Char"/>
    <w:basedOn w:val="DefaultParagraphFont"/>
    <w:link w:val="Salutation"/>
    <w:uiPriority w:val="99"/>
    <w:semiHidden/>
    <w:rsid w:val="00544F1A"/>
    <w:rPr>
      <w:rFonts w:ascii="Times New Roman" w:eastAsia="Times New Roman" w:hAnsi="Times New Roman" w:cs="Times New Roman"/>
    </w:rPr>
  </w:style>
  <w:style w:type="paragraph" w:styleId="Signature">
    <w:name w:val="Signature"/>
    <w:basedOn w:val="Normal"/>
    <w:link w:val="SignatureChar"/>
    <w:uiPriority w:val="99"/>
    <w:semiHidden/>
    <w:unhideWhenUsed/>
    <w:rsid w:val="00544F1A"/>
    <w:pPr>
      <w:ind w:left="4320"/>
    </w:pPr>
  </w:style>
  <w:style w:type="character" w:customStyle="1" w:styleId="SignatureChar">
    <w:name w:val="Signature Char"/>
    <w:basedOn w:val="DefaultParagraphFont"/>
    <w:link w:val="Signature"/>
    <w:uiPriority w:val="99"/>
    <w:semiHidden/>
    <w:rsid w:val="00544F1A"/>
    <w:rPr>
      <w:rFonts w:ascii="Times New Roman" w:eastAsia="Times New Roman" w:hAnsi="Times New Roman" w:cs="Times New Roman"/>
    </w:rPr>
  </w:style>
  <w:style w:type="paragraph" w:styleId="Subtitle">
    <w:name w:val="Subtitle"/>
    <w:basedOn w:val="Normal"/>
    <w:next w:val="Normal"/>
    <w:link w:val="SubtitleChar"/>
    <w:uiPriority w:val="11"/>
    <w:qFormat/>
    <w:rsid w:val="00544F1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544F1A"/>
    <w:rPr>
      <w:rFonts w:asciiTheme="majorHAnsi" w:eastAsiaTheme="majorEastAsia" w:hAnsiTheme="majorHAnsi" w:cstheme="majorBidi"/>
      <w:i/>
      <w:iCs/>
      <w:color w:val="5B9BD5" w:themeColor="accent1"/>
      <w:spacing w:val="15"/>
      <w:sz w:val="24"/>
      <w:szCs w:val="24"/>
    </w:rPr>
  </w:style>
  <w:style w:type="paragraph" w:styleId="TableofAuthorities">
    <w:name w:val="table of authorities"/>
    <w:basedOn w:val="Normal"/>
    <w:next w:val="Normal"/>
    <w:uiPriority w:val="99"/>
    <w:semiHidden/>
    <w:unhideWhenUsed/>
    <w:rsid w:val="00544F1A"/>
    <w:pPr>
      <w:ind w:left="220" w:hanging="220"/>
    </w:pPr>
  </w:style>
  <w:style w:type="paragraph" w:styleId="TableofFigures">
    <w:name w:val="table of figures"/>
    <w:basedOn w:val="Normal"/>
    <w:next w:val="Normal"/>
    <w:uiPriority w:val="99"/>
    <w:semiHidden/>
    <w:unhideWhenUsed/>
    <w:rsid w:val="00544F1A"/>
  </w:style>
  <w:style w:type="paragraph" w:styleId="Title">
    <w:name w:val="Title"/>
    <w:basedOn w:val="Normal"/>
    <w:next w:val="Normal"/>
    <w:link w:val="TitleChar"/>
    <w:uiPriority w:val="10"/>
    <w:qFormat/>
    <w:rsid w:val="00544F1A"/>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44F1A"/>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uiPriority w:val="99"/>
    <w:semiHidden/>
    <w:unhideWhenUsed/>
    <w:rsid w:val="00544F1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44F1A"/>
    <w:pPr>
      <w:spacing w:after="100"/>
    </w:pPr>
  </w:style>
  <w:style w:type="paragraph" w:styleId="TOC2">
    <w:name w:val="toc 2"/>
    <w:basedOn w:val="Normal"/>
    <w:next w:val="Normal"/>
    <w:autoRedefine/>
    <w:uiPriority w:val="39"/>
    <w:semiHidden/>
    <w:unhideWhenUsed/>
    <w:rsid w:val="00544F1A"/>
    <w:pPr>
      <w:spacing w:after="100"/>
      <w:ind w:left="220"/>
    </w:pPr>
  </w:style>
  <w:style w:type="paragraph" w:styleId="TOC3">
    <w:name w:val="toc 3"/>
    <w:basedOn w:val="Normal"/>
    <w:next w:val="Normal"/>
    <w:autoRedefine/>
    <w:uiPriority w:val="39"/>
    <w:semiHidden/>
    <w:unhideWhenUsed/>
    <w:rsid w:val="00544F1A"/>
    <w:pPr>
      <w:spacing w:after="100"/>
      <w:ind w:left="440"/>
    </w:pPr>
  </w:style>
  <w:style w:type="paragraph" w:styleId="TOC4">
    <w:name w:val="toc 4"/>
    <w:basedOn w:val="Normal"/>
    <w:next w:val="Normal"/>
    <w:autoRedefine/>
    <w:uiPriority w:val="39"/>
    <w:semiHidden/>
    <w:unhideWhenUsed/>
    <w:rsid w:val="00544F1A"/>
    <w:pPr>
      <w:spacing w:after="100"/>
      <w:ind w:left="660"/>
    </w:pPr>
  </w:style>
  <w:style w:type="paragraph" w:styleId="TOC5">
    <w:name w:val="toc 5"/>
    <w:basedOn w:val="Normal"/>
    <w:next w:val="Normal"/>
    <w:autoRedefine/>
    <w:uiPriority w:val="39"/>
    <w:semiHidden/>
    <w:unhideWhenUsed/>
    <w:rsid w:val="00544F1A"/>
    <w:pPr>
      <w:spacing w:after="100"/>
      <w:ind w:left="880"/>
    </w:pPr>
  </w:style>
  <w:style w:type="paragraph" w:styleId="TOC6">
    <w:name w:val="toc 6"/>
    <w:basedOn w:val="Normal"/>
    <w:next w:val="Normal"/>
    <w:autoRedefine/>
    <w:uiPriority w:val="39"/>
    <w:semiHidden/>
    <w:unhideWhenUsed/>
    <w:rsid w:val="00544F1A"/>
    <w:pPr>
      <w:spacing w:after="100"/>
      <w:ind w:left="1100"/>
    </w:pPr>
  </w:style>
  <w:style w:type="paragraph" w:styleId="TOC7">
    <w:name w:val="toc 7"/>
    <w:basedOn w:val="Normal"/>
    <w:next w:val="Normal"/>
    <w:autoRedefine/>
    <w:uiPriority w:val="39"/>
    <w:semiHidden/>
    <w:unhideWhenUsed/>
    <w:rsid w:val="00544F1A"/>
    <w:pPr>
      <w:spacing w:after="100"/>
      <w:ind w:left="1320"/>
    </w:pPr>
  </w:style>
  <w:style w:type="paragraph" w:styleId="TOC8">
    <w:name w:val="toc 8"/>
    <w:basedOn w:val="Normal"/>
    <w:next w:val="Normal"/>
    <w:autoRedefine/>
    <w:uiPriority w:val="39"/>
    <w:semiHidden/>
    <w:unhideWhenUsed/>
    <w:rsid w:val="00544F1A"/>
    <w:pPr>
      <w:spacing w:after="100"/>
      <w:ind w:left="1540"/>
    </w:pPr>
  </w:style>
  <w:style w:type="paragraph" w:styleId="TOC9">
    <w:name w:val="toc 9"/>
    <w:basedOn w:val="Normal"/>
    <w:next w:val="Normal"/>
    <w:autoRedefine/>
    <w:uiPriority w:val="39"/>
    <w:semiHidden/>
    <w:unhideWhenUsed/>
    <w:rsid w:val="00544F1A"/>
    <w:pPr>
      <w:spacing w:after="100"/>
      <w:ind w:left="1760"/>
    </w:pPr>
  </w:style>
  <w:style w:type="paragraph" w:styleId="TOCHeading">
    <w:name w:val="TOC Heading"/>
    <w:basedOn w:val="Heading1"/>
    <w:next w:val="Normal"/>
    <w:uiPriority w:val="39"/>
    <w:semiHidden/>
    <w:unhideWhenUsed/>
    <w:qFormat/>
    <w:rsid w:val="00544F1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EC3CD-E9E1-6A43-8FC5-8D34D8BF1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50</Pages>
  <Words>19045</Words>
  <Characters>97705</Characters>
  <Application>Microsoft Office Word</Application>
  <DocSecurity>0</DocSecurity>
  <Lines>1809</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Rabiej, J.D.</dc:creator>
  <cp:lastModifiedBy>Melinda Vaughn</cp:lastModifiedBy>
  <cp:revision>3</cp:revision>
  <cp:lastPrinted>2018-04-23T15:02:00Z</cp:lastPrinted>
  <dcterms:created xsi:type="dcterms:W3CDTF">2018-05-14T17:55:00Z</dcterms:created>
  <dcterms:modified xsi:type="dcterms:W3CDTF">2018-05-17T19:56:00Z</dcterms:modified>
</cp:coreProperties>
</file>