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B3F" w:rsidRDefault="00625B3F" w:rsidP="00625B3F">
      <w:pPr>
        <w:spacing w:line="360" w:lineRule="auto"/>
        <w:jc w:val="center"/>
        <w:rPr>
          <w:rFonts w:ascii="Century Schoolbook" w:hAnsi="Century Schoolbook"/>
          <w:b/>
          <w:smallCaps/>
          <w:sz w:val="26"/>
          <w:szCs w:val="26"/>
        </w:rPr>
      </w:pPr>
      <w:bookmarkStart w:id="0" w:name="_GoBack"/>
      <w:bookmarkEnd w:id="0"/>
      <w:r w:rsidRPr="004D1D54">
        <w:rPr>
          <w:rFonts w:ascii="Century Schoolbook" w:hAnsi="Century Schoolbook"/>
          <w:b/>
          <w:smallCaps/>
          <w:sz w:val="26"/>
          <w:szCs w:val="26"/>
        </w:rPr>
        <w:t>DUKE LAW GUIDELINES AND BEST PRACTICES ADDRESSING CHRONIC FAILURE TO DIVERSIFY LEADERSHIP POSITIONS IN THE PRACTICE OF LAW</w:t>
      </w:r>
    </w:p>
    <w:p w:rsidR="00625B3F" w:rsidRDefault="00625B3F" w:rsidP="00625B3F">
      <w:pPr>
        <w:spacing w:line="360" w:lineRule="auto"/>
        <w:jc w:val="center"/>
        <w:rPr>
          <w:rFonts w:ascii="Century Schoolbook" w:hAnsi="Century Schoolbook"/>
          <w:b/>
          <w:smallCaps/>
          <w:sz w:val="26"/>
          <w:szCs w:val="26"/>
        </w:rPr>
      </w:pPr>
      <w:r>
        <w:rPr>
          <w:rFonts w:ascii="Century Schoolbook" w:hAnsi="Century Schoolbook"/>
          <w:b/>
          <w:smallCaps/>
          <w:sz w:val="26"/>
          <w:szCs w:val="26"/>
        </w:rPr>
        <w:t>(FIRST DRAFT PENDING REVISION)</w:t>
      </w:r>
    </w:p>
    <w:p w:rsidR="00625B3F" w:rsidRDefault="00625B3F" w:rsidP="00625B3F">
      <w:pPr>
        <w:spacing w:line="360" w:lineRule="auto"/>
        <w:jc w:val="center"/>
        <w:rPr>
          <w:rFonts w:ascii="Century Schoolbook" w:hAnsi="Century Schoolbook"/>
          <w:b/>
          <w:smallCaps/>
          <w:sz w:val="26"/>
          <w:szCs w:val="26"/>
        </w:rPr>
      </w:pPr>
      <w:r>
        <w:rPr>
          <w:rFonts w:ascii="Century Schoolbook" w:hAnsi="Century Schoolbook"/>
          <w:b/>
          <w:smallCaps/>
          <w:sz w:val="26"/>
          <w:szCs w:val="26"/>
        </w:rPr>
        <w:t>MAY 10, 2018</w:t>
      </w:r>
    </w:p>
    <w:p w:rsidR="00625B3F" w:rsidRDefault="00625B3F" w:rsidP="00625B3F">
      <w:pPr>
        <w:spacing w:line="360" w:lineRule="auto"/>
        <w:rPr>
          <w:rFonts w:ascii="Century Schoolbook" w:hAnsi="Century Schoolbook"/>
          <w:b/>
          <w:sz w:val="28"/>
          <w:szCs w:val="28"/>
        </w:rPr>
      </w:pPr>
    </w:p>
    <w:p w:rsidR="00625B3F" w:rsidRPr="004D18E2" w:rsidRDefault="00625B3F" w:rsidP="00625B3F">
      <w:pPr>
        <w:spacing w:line="360" w:lineRule="auto"/>
        <w:jc w:val="center"/>
        <w:rPr>
          <w:rFonts w:ascii="Century Schoolbook" w:hAnsi="Century Schoolbook"/>
          <w:b/>
          <w:sz w:val="26"/>
          <w:szCs w:val="26"/>
        </w:rPr>
      </w:pPr>
      <w:r w:rsidRPr="004D18E2">
        <w:rPr>
          <w:rFonts w:ascii="Century Schoolbook" w:hAnsi="Century Schoolbook"/>
          <w:b/>
          <w:sz w:val="26"/>
          <w:szCs w:val="26"/>
        </w:rPr>
        <w:t>PART I</w:t>
      </w:r>
    </w:p>
    <w:p w:rsidR="00625B3F" w:rsidRPr="00F250AE" w:rsidRDefault="00625B3F" w:rsidP="00625B3F">
      <w:pPr>
        <w:spacing w:line="360" w:lineRule="auto"/>
        <w:jc w:val="center"/>
        <w:rPr>
          <w:rFonts w:ascii="Century Schoolbook" w:hAnsi="Century Schoolbook"/>
          <w:b/>
          <w:sz w:val="26"/>
          <w:szCs w:val="26"/>
        </w:rPr>
      </w:pPr>
      <w:r w:rsidRPr="00F250AE">
        <w:rPr>
          <w:rFonts w:ascii="Century Schoolbook" w:hAnsi="Century Schoolbook"/>
          <w:b/>
          <w:smallCaps/>
          <w:sz w:val="26"/>
          <w:szCs w:val="26"/>
        </w:rPr>
        <w:t>Documenting the Problem, Making the Case, and Stating the</w:t>
      </w:r>
      <w:r w:rsidRPr="00F250AE">
        <w:rPr>
          <w:rFonts w:ascii="Century Schoolbook" w:hAnsi="Century Schoolbook"/>
          <w:b/>
          <w:sz w:val="26"/>
          <w:szCs w:val="26"/>
        </w:rPr>
        <w:t xml:space="preserve"> </w:t>
      </w:r>
      <w:r w:rsidRPr="00F250AE">
        <w:rPr>
          <w:rFonts w:ascii="Century Schoolbook" w:hAnsi="Century Schoolbook"/>
          <w:b/>
          <w:smallCaps/>
          <w:sz w:val="26"/>
          <w:szCs w:val="26"/>
        </w:rPr>
        <w:t xml:space="preserve">Law  </w:t>
      </w:r>
    </w:p>
    <w:p w:rsidR="00625B3F" w:rsidRPr="008F3E1D" w:rsidRDefault="00625B3F" w:rsidP="00625B3F">
      <w:pPr>
        <w:spacing w:line="360" w:lineRule="auto"/>
        <w:rPr>
          <w:rFonts w:ascii="Century Schoolbook" w:hAnsi="Century Schoolbook"/>
          <w:b/>
          <w:sz w:val="22"/>
          <w:szCs w:val="22"/>
        </w:rPr>
      </w:pPr>
    </w:p>
    <w:p w:rsidR="00625B3F" w:rsidRDefault="00625B3F" w:rsidP="00625B3F">
      <w:pPr>
        <w:pStyle w:val="ListParagraph"/>
        <w:numPr>
          <w:ilvl w:val="0"/>
          <w:numId w:val="4"/>
        </w:numPr>
        <w:spacing w:line="360" w:lineRule="auto"/>
        <w:rPr>
          <w:rFonts w:ascii="Century Schoolbook" w:hAnsi="Century Schoolbook"/>
          <w:b/>
          <w:sz w:val="22"/>
          <w:szCs w:val="22"/>
        </w:rPr>
      </w:pPr>
      <w:r>
        <w:rPr>
          <w:rFonts w:ascii="Century Schoolbook" w:hAnsi="Century Schoolbook"/>
          <w:b/>
          <w:sz w:val="22"/>
          <w:szCs w:val="22"/>
        </w:rPr>
        <w:t>T</w:t>
      </w:r>
      <w:r w:rsidRPr="008F3E1D">
        <w:rPr>
          <w:rFonts w:ascii="Century Schoolbook" w:hAnsi="Century Schoolbook"/>
          <w:b/>
          <w:sz w:val="22"/>
          <w:szCs w:val="22"/>
        </w:rPr>
        <w:t>he Problem</w:t>
      </w:r>
    </w:p>
    <w:p w:rsidR="00625B3F" w:rsidRPr="000238F0" w:rsidRDefault="00625B3F" w:rsidP="00625B3F">
      <w:pPr>
        <w:spacing w:line="360" w:lineRule="auto"/>
        <w:ind w:firstLine="540"/>
        <w:rPr>
          <w:rFonts w:ascii="Century Schoolbook" w:hAnsi="Century Schoolbook"/>
          <w:b/>
          <w:sz w:val="22"/>
          <w:szCs w:val="22"/>
        </w:rPr>
      </w:pPr>
      <w:r w:rsidRPr="000238F0">
        <w:rPr>
          <w:rFonts w:ascii="Century Schoolbook" w:hAnsi="Century Schoolbook" w:cs="Times New Roman"/>
          <w:sz w:val="22"/>
          <w:szCs w:val="22"/>
        </w:rPr>
        <w:t xml:space="preserve">Although the number of women students has just recently surpassed men in law school, men and women have been graduating with law degrees at about the same rate for </w:t>
      </w:r>
      <w:proofErr w:type="gramStart"/>
      <w:r w:rsidRPr="000238F0">
        <w:rPr>
          <w:rFonts w:ascii="Century Schoolbook" w:hAnsi="Century Schoolbook" w:cs="Times New Roman"/>
          <w:sz w:val="22"/>
          <w:szCs w:val="22"/>
        </w:rPr>
        <w:t>at</w:t>
      </w:r>
      <w:proofErr w:type="gramEnd"/>
      <w:r w:rsidRPr="000238F0">
        <w:rPr>
          <w:rFonts w:ascii="Century Schoolbook" w:hAnsi="Century Schoolbook" w:cs="Times New Roman"/>
          <w:sz w:val="22"/>
          <w:szCs w:val="22"/>
        </w:rPr>
        <w:t xml:space="preserve"> least the last thirty years, and both have been entering private firms at similar rates.  With these statistics, it would seem </w:t>
      </w:r>
      <w:r>
        <w:rPr>
          <w:rFonts w:ascii="Century Schoolbook" w:hAnsi="Century Schoolbook" w:cs="Times New Roman"/>
          <w:sz w:val="22"/>
          <w:szCs w:val="22"/>
        </w:rPr>
        <w:t>that</w:t>
      </w:r>
      <w:r w:rsidRPr="000238F0">
        <w:rPr>
          <w:rFonts w:ascii="Century Schoolbook" w:hAnsi="Century Schoolbook" w:cs="Times New Roman"/>
          <w:sz w:val="22"/>
          <w:szCs w:val="22"/>
        </w:rPr>
        <w:t xml:space="preserve"> more women would be ending up in leadership roles.  But this is not the case.  </w:t>
      </w:r>
    </w:p>
    <w:p w:rsidR="00625B3F" w:rsidRDefault="00625B3F" w:rsidP="00625B3F">
      <w:pPr>
        <w:spacing w:line="360" w:lineRule="auto"/>
        <w:ind w:firstLine="540"/>
        <w:rPr>
          <w:rFonts w:ascii="Century Schoolbook" w:hAnsi="Century Schoolbook" w:cs="Times New Roman"/>
          <w:sz w:val="22"/>
          <w:szCs w:val="22"/>
        </w:rPr>
      </w:pPr>
      <w:r w:rsidRPr="000238F0">
        <w:rPr>
          <w:rFonts w:ascii="Century Schoolbook" w:hAnsi="Century Schoolbook" w:cs="Times New Roman"/>
          <w:sz w:val="22"/>
          <w:szCs w:val="22"/>
        </w:rPr>
        <w:t>Instead, women are severely underrepresented in positions of legal leadership.  A 2015 A</w:t>
      </w:r>
      <w:r>
        <w:rPr>
          <w:rFonts w:ascii="Century Schoolbook" w:hAnsi="Century Schoolbook" w:cs="Times New Roman"/>
          <w:sz w:val="22"/>
          <w:szCs w:val="22"/>
        </w:rPr>
        <w:t>merican Bar Association (ABA)</w:t>
      </w:r>
      <w:r w:rsidRPr="000238F0">
        <w:rPr>
          <w:rFonts w:ascii="Century Schoolbook" w:hAnsi="Century Schoolbook" w:cs="Times New Roman"/>
          <w:sz w:val="22"/>
          <w:szCs w:val="22"/>
        </w:rPr>
        <w:t xml:space="preserve"> and American Bar Foundation Study showed that </w:t>
      </w:r>
      <w:r>
        <w:rPr>
          <w:rFonts w:ascii="Century Schoolbook" w:hAnsi="Century Schoolbook" w:cs="Times New Roman"/>
          <w:sz w:val="22"/>
          <w:szCs w:val="22"/>
        </w:rPr>
        <w:t>just 24% of lead counsel in</w:t>
      </w:r>
      <w:r w:rsidRPr="000238F0">
        <w:rPr>
          <w:rFonts w:ascii="Century Schoolbook" w:hAnsi="Century Schoolbook" w:cs="Times New Roman"/>
          <w:sz w:val="22"/>
          <w:szCs w:val="22"/>
        </w:rPr>
        <w:t xml:space="preserve"> civil cases</w:t>
      </w:r>
      <w:r>
        <w:rPr>
          <w:rFonts w:ascii="Century Schoolbook" w:hAnsi="Century Schoolbook" w:cs="Times New Roman"/>
          <w:sz w:val="22"/>
          <w:szCs w:val="22"/>
        </w:rPr>
        <w:t xml:space="preserve"> </w:t>
      </w:r>
      <w:r w:rsidRPr="000238F0">
        <w:rPr>
          <w:rFonts w:ascii="Century Schoolbook" w:hAnsi="Century Schoolbook" w:cs="Times New Roman"/>
          <w:sz w:val="22"/>
          <w:szCs w:val="22"/>
        </w:rPr>
        <w:t>were women.</w:t>
      </w:r>
      <w:bookmarkStart w:id="1" w:name="_Ref509175655"/>
      <w:r w:rsidRPr="008F3E1D">
        <w:rPr>
          <w:rStyle w:val="FootnoteReference"/>
          <w:rFonts w:ascii="Century Schoolbook" w:hAnsi="Century Schoolbook" w:cs="Times New Roman"/>
          <w:sz w:val="22"/>
          <w:szCs w:val="22"/>
        </w:rPr>
        <w:footnoteReference w:id="1"/>
      </w:r>
      <w:bookmarkEnd w:id="1"/>
      <w:r w:rsidRPr="000238F0">
        <w:rPr>
          <w:rFonts w:ascii="Century Schoolbook" w:hAnsi="Century Schoolbook" w:cs="Times New Roman"/>
          <w:sz w:val="22"/>
          <w:szCs w:val="22"/>
        </w:rPr>
        <w:t xml:space="preserve">  </w:t>
      </w:r>
      <w:r>
        <w:rPr>
          <w:rFonts w:ascii="Century Schoolbook" w:hAnsi="Century Schoolbook" w:cs="Times New Roman"/>
          <w:sz w:val="22"/>
          <w:szCs w:val="22"/>
        </w:rPr>
        <w:t>Of those attorneys who self-identified as “trial lawyers,” just 27% were women</w:t>
      </w:r>
      <w:r w:rsidRPr="000238F0">
        <w:rPr>
          <w:rFonts w:ascii="Century Schoolbook" w:hAnsi="Century Schoolbook" w:cs="Times New Roman"/>
          <w:sz w:val="22"/>
          <w:szCs w:val="22"/>
        </w:rPr>
        <w:t xml:space="preserve">.  When researchers </w:t>
      </w:r>
      <w:r>
        <w:rPr>
          <w:rFonts w:ascii="Century Schoolbook" w:hAnsi="Century Schoolbook" w:cs="Times New Roman"/>
          <w:sz w:val="22"/>
          <w:szCs w:val="22"/>
        </w:rPr>
        <w:t>segmented the data by case type</w:t>
      </w:r>
      <w:r w:rsidRPr="000238F0">
        <w:rPr>
          <w:rFonts w:ascii="Century Schoolbook" w:hAnsi="Century Schoolbook" w:cs="Times New Roman"/>
          <w:sz w:val="22"/>
          <w:szCs w:val="22"/>
        </w:rPr>
        <w:t>, they found the same thing—the vast majority of lead counsel were men, regardless of whether the case was about civil rights, intellectual property rights, labor, torts, or others.  In criminal cases, the picture was much the same; only 33% of lead counsel and 21% of trial attorneys were women.  “</w:t>
      </w:r>
      <w:r>
        <w:rPr>
          <w:rFonts w:ascii="Century Schoolbook" w:hAnsi="Century Schoolbook" w:cs="Times New Roman"/>
          <w:sz w:val="22"/>
          <w:szCs w:val="22"/>
        </w:rPr>
        <w:t>[</w:t>
      </w:r>
      <w:r w:rsidRPr="000238F0">
        <w:rPr>
          <w:rFonts w:ascii="Century Schoolbook" w:hAnsi="Century Schoolbook" w:cs="Times New Roman"/>
          <w:sz w:val="22"/>
          <w:szCs w:val="22"/>
        </w:rPr>
        <w:t>T</w:t>
      </w:r>
      <w:r>
        <w:rPr>
          <w:rFonts w:ascii="Century Schoolbook" w:hAnsi="Century Schoolbook" w:cs="Times New Roman"/>
          <w:sz w:val="22"/>
          <w:szCs w:val="22"/>
        </w:rPr>
        <w:t>]</w:t>
      </w:r>
      <w:r w:rsidRPr="000238F0">
        <w:rPr>
          <w:rFonts w:ascii="Century Schoolbook" w:hAnsi="Century Schoolbook" w:cs="Times New Roman"/>
          <w:sz w:val="22"/>
          <w:szCs w:val="22"/>
        </w:rPr>
        <w:t xml:space="preserve">here is no type of case in which women are more likely than men to be lead counsel,” the authors </w:t>
      </w:r>
      <w:r>
        <w:rPr>
          <w:rFonts w:ascii="Century Schoolbook" w:hAnsi="Century Schoolbook" w:cs="Times New Roman"/>
          <w:sz w:val="22"/>
          <w:szCs w:val="22"/>
        </w:rPr>
        <w:t>concluded</w:t>
      </w:r>
      <w:r w:rsidRPr="000238F0">
        <w:rPr>
          <w:rFonts w:ascii="Century Schoolbook" w:hAnsi="Century Schoolbook" w:cs="Times New Roman"/>
          <w:sz w:val="22"/>
          <w:szCs w:val="22"/>
        </w:rPr>
        <w:t>.</w:t>
      </w:r>
      <w:r>
        <w:rPr>
          <w:rStyle w:val="FootnoteReference"/>
          <w:rFonts w:ascii="Century Schoolbook" w:hAnsi="Century Schoolbook" w:cs="Times New Roman"/>
          <w:sz w:val="22"/>
          <w:szCs w:val="22"/>
        </w:rPr>
        <w:footnoteReference w:id="2"/>
      </w:r>
    </w:p>
    <w:p w:rsidR="00625B3F" w:rsidRPr="008F3E1D" w:rsidRDefault="00625B3F" w:rsidP="00625B3F">
      <w:pPr>
        <w:spacing w:line="360" w:lineRule="auto"/>
        <w:ind w:firstLine="720"/>
        <w:rPr>
          <w:rFonts w:ascii="Century Schoolbook" w:hAnsi="Century Schoolbook"/>
          <w:sz w:val="22"/>
          <w:szCs w:val="22"/>
        </w:rPr>
      </w:pPr>
      <w:r>
        <w:rPr>
          <w:rFonts w:ascii="Century Schoolbook" w:hAnsi="Century Schoolbook" w:cs="Times New Roman"/>
          <w:color w:val="000000" w:themeColor="text1"/>
          <w:sz w:val="22"/>
          <w:szCs w:val="22"/>
        </w:rPr>
        <w:t>Retired district court judge,</w:t>
      </w:r>
      <w:r w:rsidRPr="008F3E1D">
        <w:rPr>
          <w:rFonts w:ascii="Century Schoolbook" w:hAnsi="Century Schoolbook" w:cs="Times New Roman"/>
          <w:color w:val="000000" w:themeColor="text1"/>
          <w:sz w:val="22"/>
          <w:szCs w:val="22"/>
        </w:rPr>
        <w:t xml:space="preserve"> </w:t>
      </w:r>
      <w:r w:rsidRPr="008F3E1D">
        <w:rPr>
          <w:rFonts w:ascii="Century Schoolbook" w:hAnsi="Century Schoolbook" w:cs="Times New Roman"/>
          <w:sz w:val="22"/>
          <w:szCs w:val="22"/>
        </w:rPr>
        <w:t>Shira A. Scheindlin</w:t>
      </w:r>
      <w:r>
        <w:rPr>
          <w:rFonts w:ascii="Century Schoolbook" w:hAnsi="Century Schoolbook" w:cs="Times New Roman"/>
          <w:sz w:val="22"/>
          <w:szCs w:val="22"/>
        </w:rPr>
        <w:t xml:space="preserve">, surveyed </w:t>
      </w:r>
      <w:r w:rsidRPr="008F3E1D">
        <w:rPr>
          <w:rFonts w:ascii="Century Schoolbook" w:hAnsi="Century Schoolbook" w:cs="Times New Roman"/>
          <w:sz w:val="22"/>
          <w:szCs w:val="22"/>
        </w:rPr>
        <w:t xml:space="preserve">2,800 </w:t>
      </w:r>
      <w:r>
        <w:rPr>
          <w:rFonts w:ascii="Century Schoolbook" w:hAnsi="Century Schoolbook" w:cs="Times New Roman"/>
          <w:sz w:val="22"/>
          <w:szCs w:val="22"/>
        </w:rPr>
        <w:t xml:space="preserve">federal and state judges in New York about the roles women lawyers play in their courts; the results were </w:t>
      </w:r>
      <w:r>
        <w:rPr>
          <w:rFonts w:ascii="Century Schoolbook" w:hAnsi="Century Schoolbook" w:cs="Times New Roman"/>
          <w:sz w:val="22"/>
          <w:szCs w:val="22"/>
        </w:rPr>
        <w:lastRenderedPageBreak/>
        <w:t>striking.</w:t>
      </w:r>
      <w:bookmarkStart w:id="2" w:name="_Ref510809023"/>
      <w:r>
        <w:rPr>
          <w:rStyle w:val="FootnoteReference"/>
          <w:rFonts w:ascii="Century Schoolbook" w:hAnsi="Century Schoolbook" w:cs="Times New Roman"/>
          <w:sz w:val="22"/>
          <w:szCs w:val="22"/>
        </w:rPr>
        <w:footnoteReference w:id="3"/>
      </w:r>
      <w:bookmarkEnd w:id="2"/>
      <w:r>
        <w:rPr>
          <w:rFonts w:ascii="Century Schoolbook" w:hAnsi="Century Schoolbook" w:cs="Times New Roman"/>
          <w:sz w:val="22"/>
          <w:szCs w:val="22"/>
        </w:rPr>
        <w:t xml:space="preserve"> W</w:t>
      </w:r>
      <w:r w:rsidRPr="008F3E1D">
        <w:rPr>
          <w:rFonts w:ascii="Century Schoolbook" w:hAnsi="Century Schoolbook" w:cs="Times New Roman"/>
          <w:sz w:val="22"/>
          <w:szCs w:val="22"/>
        </w:rPr>
        <w:t>omen have not made nearly enough progress in the profession, with barely 20% serving as lead lawyers for private parties in New York</w:t>
      </w:r>
      <w:r>
        <w:rPr>
          <w:rFonts w:ascii="Century Schoolbook" w:hAnsi="Century Schoolbook" w:cs="Times New Roman"/>
          <w:sz w:val="22"/>
          <w:szCs w:val="22"/>
        </w:rPr>
        <w:t xml:space="preserve">’s </w:t>
      </w:r>
      <w:r w:rsidRPr="008F3E1D">
        <w:rPr>
          <w:rFonts w:ascii="Century Schoolbook" w:hAnsi="Century Schoolbook" w:cs="Times New Roman"/>
          <w:sz w:val="22"/>
          <w:szCs w:val="22"/>
        </w:rPr>
        <w:t xml:space="preserve">federal and state courts at the trial and appellate levels. </w:t>
      </w:r>
    </w:p>
    <w:p w:rsidR="00625B3F" w:rsidRPr="00993E2B" w:rsidRDefault="00625B3F" w:rsidP="00625B3F">
      <w:pPr>
        <w:pStyle w:val="ListParagraph"/>
        <w:numPr>
          <w:ilvl w:val="0"/>
          <w:numId w:val="5"/>
        </w:numPr>
        <w:spacing w:line="360" w:lineRule="auto"/>
        <w:rPr>
          <w:rFonts w:ascii="Century Schoolbook" w:hAnsi="Century Schoolbook" w:cs="Times New Roman"/>
          <w:b/>
          <w:sz w:val="22"/>
          <w:szCs w:val="22"/>
        </w:rPr>
      </w:pPr>
      <w:r w:rsidRPr="006E1157">
        <w:rPr>
          <w:rFonts w:ascii="Century Schoolbook" w:hAnsi="Century Schoolbook" w:cs="Times New Roman"/>
          <w:b/>
          <w:sz w:val="22"/>
          <w:szCs w:val="22"/>
        </w:rPr>
        <w:t>Lost Op</w:t>
      </w:r>
      <w:r>
        <w:rPr>
          <w:rFonts w:ascii="Century Schoolbook" w:hAnsi="Century Schoolbook" w:cs="Times New Roman"/>
          <w:b/>
          <w:sz w:val="22"/>
          <w:szCs w:val="22"/>
        </w:rPr>
        <w:t>p</w:t>
      </w:r>
      <w:r w:rsidRPr="006E1157">
        <w:rPr>
          <w:rFonts w:ascii="Century Schoolbook" w:hAnsi="Century Schoolbook" w:cs="Times New Roman"/>
          <w:b/>
          <w:sz w:val="22"/>
          <w:szCs w:val="22"/>
        </w:rPr>
        <w:t>ortunities</w:t>
      </w:r>
    </w:p>
    <w:p w:rsidR="00625B3F" w:rsidRDefault="00625B3F" w:rsidP="00625B3F">
      <w:pPr>
        <w:spacing w:line="360" w:lineRule="auto"/>
        <w:ind w:firstLine="540"/>
        <w:rPr>
          <w:rFonts w:ascii="Century Schoolbook" w:hAnsi="Century Schoolbook" w:cs="Times New Roman"/>
          <w:sz w:val="22"/>
          <w:szCs w:val="22"/>
        </w:rPr>
      </w:pPr>
      <w:r w:rsidRPr="000238F0">
        <w:rPr>
          <w:rFonts w:ascii="Century Schoolbook" w:hAnsi="Century Schoolbook" w:cs="Times New Roman"/>
          <w:sz w:val="22"/>
          <w:szCs w:val="22"/>
        </w:rPr>
        <w:t xml:space="preserve">The lack of women in leadership roles is not only a problem for the half of </w:t>
      </w:r>
      <w:r>
        <w:rPr>
          <w:rFonts w:ascii="Century Schoolbook" w:hAnsi="Century Schoolbook" w:cs="Times New Roman"/>
          <w:sz w:val="22"/>
          <w:szCs w:val="22"/>
        </w:rPr>
        <w:t xml:space="preserve">the </w:t>
      </w:r>
      <w:r w:rsidRPr="000238F0">
        <w:rPr>
          <w:rFonts w:ascii="Century Schoolbook" w:hAnsi="Century Schoolbook" w:cs="Times New Roman"/>
          <w:sz w:val="22"/>
          <w:szCs w:val="22"/>
        </w:rPr>
        <w:t xml:space="preserve">profession impacted directly.  It also represents a missed opportunity for both the bench and the bar more broadly.  Some commentators have argued that many of the stereotypically female attributes that have disadvantaged women in the profession </w:t>
      </w:r>
      <w:r w:rsidRPr="00B9081C">
        <w:rPr>
          <w:rFonts w:ascii="Century Schoolbook" w:hAnsi="Century Schoolbook" w:cs="Times New Roman"/>
          <w:sz w:val="22"/>
          <w:szCs w:val="22"/>
        </w:rPr>
        <w:t>(assuming they exist)</w:t>
      </w:r>
      <w:r>
        <w:rPr>
          <w:rFonts w:ascii="Century Schoolbook" w:hAnsi="Century Schoolbook" w:cs="Times New Roman"/>
          <w:sz w:val="22"/>
          <w:szCs w:val="22"/>
        </w:rPr>
        <w:t xml:space="preserve"> </w:t>
      </w:r>
      <w:r w:rsidRPr="000238F0">
        <w:rPr>
          <w:rFonts w:ascii="Century Schoolbook" w:hAnsi="Century Schoolbook" w:cs="Times New Roman"/>
          <w:sz w:val="22"/>
          <w:szCs w:val="22"/>
        </w:rPr>
        <w:t xml:space="preserve">should be viewed as advantages.  These qualities include the </w:t>
      </w:r>
      <w:r>
        <w:rPr>
          <w:rFonts w:ascii="Century Schoolbook" w:hAnsi="Century Schoolbook" w:cs="Times New Roman"/>
          <w:sz w:val="22"/>
          <w:szCs w:val="22"/>
        </w:rPr>
        <w:t>common view</w:t>
      </w:r>
      <w:r w:rsidRPr="000238F0">
        <w:rPr>
          <w:rFonts w:ascii="Century Schoolbook" w:hAnsi="Century Schoolbook" w:cs="Times New Roman"/>
          <w:sz w:val="22"/>
          <w:szCs w:val="22"/>
        </w:rPr>
        <w:t xml:space="preserve"> that women are considered better listeners, more empathetic, and less apt to possess the over-active ego that may sometimes </w:t>
      </w:r>
      <w:r>
        <w:rPr>
          <w:rFonts w:ascii="Century Schoolbook" w:hAnsi="Century Schoolbook" w:cs="Times New Roman"/>
          <w:sz w:val="22"/>
          <w:szCs w:val="22"/>
        </w:rPr>
        <w:t>interfere with</w:t>
      </w:r>
      <w:r w:rsidRPr="000238F0">
        <w:rPr>
          <w:rFonts w:ascii="Century Schoolbook" w:hAnsi="Century Schoolbook" w:cs="Times New Roman"/>
          <w:sz w:val="22"/>
          <w:szCs w:val="22"/>
        </w:rPr>
        <w:t xml:space="preserve"> constructive problem solving and consensus building.</w:t>
      </w:r>
      <w:r w:rsidRPr="000238F0">
        <w:rPr>
          <w:rStyle w:val="FootnoteReference"/>
          <w:rFonts w:ascii="Century Schoolbook" w:hAnsi="Century Schoolbook" w:cs="Times New Roman"/>
          <w:sz w:val="22"/>
          <w:szCs w:val="22"/>
        </w:rPr>
        <w:t xml:space="preserve"> </w:t>
      </w:r>
      <w:r w:rsidRPr="008F3E1D">
        <w:rPr>
          <w:rStyle w:val="FootnoteReference"/>
          <w:rFonts w:ascii="Century Schoolbook" w:hAnsi="Century Schoolbook" w:cs="Times New Roman"/>
          <w:sz w:val="22"/>
          <w:szCs w:val="22"/>
        </w:rPr>
        <w:footnoteReference w:id="4"/>
      </w:r>
      <w:r w:rsidRPr="000238F0">
        <w:rPr>
          <w:rFonts w:ascii="Century Schoolbook" w:hAnsi="Century Schoolbook" w:cs="Times New Roman"/>
          <w:sz w:val="22"/>
          <w:szCs w:val="22"/>
        </w:rPr>
        <w:t xml:space="preserve">  </w:t>
      </w:r>
    </w:p>
    <w:p w:rsidR="00625B3F" w:rsidRDefault="00625B3F" w:rsidP="00625B3F">
      <w:pPr>
        <w:spacing w:line="360" w:lineRule="auto"/>
        <w:ind w:firstLine="540"/>
        <w:rPr>
          <w:rFonts w:ascii="Century Schoolbook" w:hAnsi="Century Schoolbook" w:cs="Times New Roman"/>
          <w:sz w:val="22"/>
          <w:szCs w:val="22"/>
        </w:rPr>
      </w:pPr>
      <w:r>
        <w:rPr>
          <w:rFonts w:ascii="Century Schoolbook" w:hAnsi="Century Schoolbook" w:cs="Times New Roman"/>
          <w:sz w:val="22"/>
          <w:szCs w:val="22"/>
        </w:rPr>
        <w:t xml:space="preserve">Women lawyers </w:t>
      </w:r>
      <w:r w:rsidRPr="000238F0">
        <w:rPr>
          <w:rFonts w:ascii="Century Schoolbook" w:hAnsi="Century Schoolbook" w:cs="Times New Roman"/>
          <w:sz w:val="22"/>
          <w:szCs w:val="22"/>
        </w:rPr>
        <w:t>are also likelier to connect with female jurors.</w:t>
      </w:r>
      <w:r w:rsidRPr="008F3E1D">
        <w:rPr>
          <w:rStyle w:val="FootnoteReference"/>
          <w:rFonts w:ascii="Century Schoolbook" w:hAnsi="Century Schoolbook" w:cs="Times New Roman"/>
          <w:sz w:val="22"/>
          <w:szCs w:val="22"/>
        </w:rPr>
        <w:footnoteReference w:id="5"/>
      </w:r>
      <w:r w:rsidRPr="000238F0">
        <w:rPr>
          <w:rFonts w:ascii="Century Schoolbook" w:hAnsi="Century Schoolbook" w:cs="Times New Roman"/>
          <w:sz w:val="22"/>
          <w:szCs w:val="22"/>
        </w:rPr>
        <w:t xml:space="preserve">  “[W]omen have a great advantage,” said litigator Elizabeth Cabraser in the ABA’s </w:t>
      </w:r>
      <w:r w:rsidRPr="000238F0">
        <w:rPr>
          <w:rFonts w:ascii="Century Schoolbook" w:hAnsi="Century Schoolbook" w:cs="Times New Roman"/>
          <w:i/>
          <w:sz w:val="22"/>
          <w:szCs w:val="22"/>
        </w:rPr>
        <w:t>Publishing Perspectives</w:t>
      </w:r>
      <w:r w:rsidRPr="000238F0">
        <w:rPr>
          <w:rFonts w:ascii="Century Schoolbook" w:hAnsi="Century Schoolbook" w:cs="Times New Roman"/>
          <w:sz w:val="22"/>
          <w:szCs w:val="22"/>
        </w:rPr>
        <w:t xml:space="preserve">, “because women have had to learn to listen—listening to judges is more important than talking to judges; listening to what the witnesses are saying is more important than saying </w:t>
      </w:r>
      <w:r>
        <w:rPr>
          <w:rFonts w:ascii="Century Schoolbook" w:hAnsi="Century Schoolbook" w:cs="Times New Roman"/>
          <w:sz w:val="22"/>
          <w:szCs w:val="22"/>
        </w:rPr>
        <w:t xml:space="preserve">what </w:t>
      </w:r>
      <w:r w:rsidRPr="000238F0">
        <w:rPr>
          <w:rFonts w:ascii="Century Schoolbook" w:hAnsi="Century Schoolbook" w:cs="Times New Roman"/>
          <w:sz w:val="22"/>
          <w:szCs w:val="22"/>
        </w:rPr>
        <w:t>you’ve already decided you want to say.</w:t>
      </w:r>
      <w:r>
        <w:rPr>
          <w:rFonts w:ascii="Century Schoolbook" w:hAnsi="Century Schoolbook" w:cs="Times New Roman"/>
          <w:sz w:val="22"/>
          <w:szCs w:val="22"/>
        </w:rPr>
        <w:t xml:space="preserve"> . . .</w:t>
      </w:r>
      <w:r w:rsidRPr="000238F0">
        <w:rPr>
          <w:rFonts w:ascii="Century Schoolbook" w:hAnsi="Century Schoolbook" w:cs="Times New Roman"/>
          <w:sz w:val="22"/>
          <w:szCs w:val="22"/>
        </w:rPr>
        <w:t xml:space="preserve"> Women have had to learn to do that.”</w:t>
      </w:r>
      <w:r w:rsidRPr="008F3E1D">
        <w:rPr>
          <w:rStyle w:val="FootnoteReference"/>
          <w:rFonts w:ascii="Century Schoolbook" w:hAnsi="Century Schoolbook" w:cs="Times New Roman"/>
          <w:sz w:val="22"/>
          <w:szCs w:val="22"/>
        </w:rPr>
        <w:footnoteReference w:id="6"/>
      </w:r>
      <w:r w:rsidRPr="000238F0">
        <w:rPr>
          <w:rFonts w:ascii="Century Schoolbook" w:hAnsi="Century Schoolbook" w:cs="Times New Roman"/>
          <w:sz w:val="22"/>
          <w:szCs w:val="22"/>
        </w:rPr>
        <w:t xml:space="preserve">  A 2012 “Decision Quest” survey of hundreds of jurors found that 97% of respondents felt female attorneys were no less qualified than male attorneys, </w:t>
      </w:r>
      <w:r>
        <w:rPr>
          <w:rFonts w:ascii="Century Schoolbook" w:hAnsi="Century Schoolbook" w:cs="Times New Roman"/>
          <w:sz w:val="22"/>
          <w:szCs w:val="22"/>
        </w:rPr>
        <w:t>and</w:t>
      </w:r>
      <w:r w:rsidRPr="000238F0">
        <w:rPr>
          <w:rFonts w:ascii="Century Schoolbook" w:hAnsi="Century Schoolbook" w:cs="Times New Roman"/>
          <w:sz w:val="22"/>
          <w:szCs w:val="22"/>
        </w:rPr>
        <w:t xml:space="preserve"> some </w:t>
      </w:r>
      <w:r>
        <w:rPr>
          <w:rFonts w:ascii="Century Schoolbook" w:hAnsi="Century Schoolbook" w:cs="Times New Roman"/>
          <w:sz w:val="22"/>
          <w:szCs w:val="22"/>
        </w:rPr>
        <w:t>regarded</w:t>
      </w:r>
      <w:r w:rsidRPr="000238F0">
        <w:rPr>
          <w:rFonts w:ascii="Century Schoolbook" w:hAnsi="Century Schoolbook" w:cs="Times New Roman"/>
          <w:sz w:val="22"/>
          <w:szCs w:val="22"/>
        </w:rPr>
        <w:t xml:space="preserve"> women as more qualified because they could “</w:t>
      </w:r>
      <w:r>
        <w:rPr>
          <w:rFonts w:ascii="Century Schoolbook" w:hAnsi="Century Schoolbook" w:cs="Times New Roman"/>
          <w:sz w:val="22"/>
          <w:szCs w:val="22"/>
        </w:rPr>
        <w:t>invoke</w:t>
      </w:r>
      <w:r w:rsidRPr="000238F0">
        <w:rPr>
          <w:rFonts w:ascii="Century Schoolbook" w:hAnsi="Century Schoolbook" w:cs="Times New Roman"/>
          <w:sz w:val="22"/>
          <w:szCs w:val="22"/>
        </w:rPr>
        <w:t xml:space="preserve"> more emotion.”</w:t>
      </w:r>
      <w:r w:rsidRPr="008F3E1D">
        <w:rPr>
          <w:rStyle w:val="FootnoteReference"/>
          <w:rFonts w:ascii="Century Schoolbook" w:hAnsi="Century Schoolbook" w:cs="Times New Roman"/>
          <w:sz w:val="22"/>
          <w:szCs w:val="22"/>
        </w:rPr>
        <w:footnoteReference w:id="7"/>
      </w:r>
      <w:r w:rsidRPr="000238F0">
        <w:rPr>
          <w:rFonts w:ascii="Century Schoolbook" w:hAnsi="Century Schoolbook" w:cs="Times New Roman"/>
          <w:sz w:val="22"/>
          <w:szCs w:val="22"/>
        </w:rPr>
        <w:t xml:space="preserve">  </w:t>
      </w:r>
    </w:p>
    <w:p w:rsidR="00625B3F" w:rsidRPr="000238F0" w:rsidRDefault="00625B3F" w:rsidP="00625B3F">
      <w:pPr>
        <w:spacing w:line="360" w:lineRule="auto"/>
        <w:ind w:firstLine="540"/>
        <w:rPr>
          <w:rFonts w:ascii="Century Schoolbook" w:hAnsi="Century Schoolbook" w:cs="Times New Roman"/>
          <w:sz w:val="22"/>
          <w:szCs w:val="22"/>
        </w:rPr>
      </w:pPr>
      <w:r w:rsidRPr="000238F0">
        <w:rPr>
          <w:rFonts w:ascii="Century Schoolbook" w:hAnsi="Century Schoolbook" w:cs="Times New Roman"/>
          <w:sz w:val="22"/>
          <w:szCs w:val="22"/>
        </w:rPr>
        <w:t>In addition, female lawyers may even work harder than their male counterparts, according to a 2015 Harvard Law School Study.</w:t>
      </w:r>
      <w:bookmarkStart w:id="3" w:name="_Ref509314162"/>
      <w:r w:rsidRPr="008F3E1D">
        <w:rPr>
          <w:rStyle w:val="FootnoteReference"/>
          <w:rFonts w:ascii="Century Schoolbook" w:hAnsi="Century Schoolbook" w:cs="Times New Roman"/>
          <w:sz w:val="22"/>
          <w:szCs w:val="22"/>
        </w:rPr>
        <w:footnoteReference w:id="8"/>
      </w:r>
      <w:bookmarkEnd w:id="3"/>
      <w:r w:rsidRPr="000238F0">
        <w:rPr>
          <w:rFonts w:ascii="Century Schoolbook" w:hAnsi="Century Schoolbook" w:cs="Times New Roman"/>
          <w:sz w:val="22"/>
          <w:szCs w:val="22"/>
        </w:rPr>
        <w:t xml:space="preserve">  In a 2009</w:t>
      </w:r>
      <w:r>
        <w:rPr>
          <w:rFonts w:ascii="Century Schoolbook" w:hAnsi="Century Schoolbook" w:cs="Times New Roman"/>
          <w:sz w:val="22"/>
          <w:szCs w:val="22"/>
        </w:rPr>
        <w:t>–10</w:t>
      </w:r>
      <w:r w:rsidRPr="000238F0">
        <w:rPr>
          <w:rFonts w:ascii="Century Schoolbook" w:hAnsi="Century Schoolbook" w:cs="Times New Roman"/>
          <w:sz w:val="22"/>
          <w:szCs w:val="22"/>
        </w:rPr>
        <w:t xml:space="preserve"> survey of graduates from the classes of 1975, 1985, 1995, and 2000,</w:t>
      </w:r>
      <w:r>
        <w:rPr>
          <w:rFonts w:ascii="Century Schoolbook" w:hAnsi="Century Schoolbook" w:cs="Times New Roman"/>
          <w:sz w:val="22"/>
          <w:szCs w:val="22"/>
        </w:rPr>
        <w:t xml:space="preserve"> the report showed </w:t>
      </w:r>
      <w:r w:rsidRPr="000238F0">
        <w:rPr>
          <w:rFonts w:ascii="Century Schoolbook" w:hAnsi="Century Schoolbook" w:cs="Times New Roman"/>
          <w:sz w:val="22"/>
          <w:szCs w:val="22"/>
        </w:rPr>
        <w:t xml:space="preserve">that in terms of hours worked, </w:t>
      </w:r>
      <w:r w:rsidRPr="000238F0">
        <w:rPr>
          <w:rFonts w:ascii="Century Schoolbook" w:hAnsi="Century Schoolbook" w:cs="Times New Roman"/>
          <w:sz w:val="22"/>
          <w:szCs w:val="22"/>
        </w:rPr>
        <w:lastRenderedPageBreak/>
        <w:t xml:space="preserve">women outpaced men in all four classes, with those from the class of 2000 working nearly eight </w:t>
      </w:r>
      <w:r>
        <w:rPr>
          <w:rFonts w:ascii="Century Schoolbook" w:hAnsi="Century Schoolbook" w:cs="Times New Roman"/>
          <w:sz w:val="22"/>
          <w:szCs w:val="22"/>
        </w:rPr>
        <w:t xml:space="preserve">additional </w:t>
      </w:r>
      <w:r w:rsidRPr="000238F0">
        <w:rPr>
          <w:rFonts w:ascii="Century Schoolbook" w:hAnsi="Century Schoolbook" w:cs="Times New Roman"/>
          <w:sz w:val="22"/>
          <w:szCs w:val="22"/>
        </w:rPr>
        <w:t xml:space="preserve">hours per week.  </w:t>
      </w:r>
    </w:p>
    <w:p w:rsidR="00625B3F" w:rsidRPr="008F3E1D" w:rsidRDefault="00625B3F" w:rsidP="00625B3F">
      <w:pPr>
        <w:widowControl w:val="0"/>
        <w:spacing w:line="360" w:lineRule="auto"/>
        <w:ind w:firstLine="720"/>
        <w:rPr>
          <w:rFonts w:ascii="Century Schoolbook" w:hAnsi="Century Schoolbook" w:cs="Times New Roman"/>
          <w:sz w:val="22"/>
          <w:szCs w:val="22"/>
        </w:rPr>
      </w:pPr>
      <w:r w:rsidRPr="008F3E1D">
        <w:rPr>
          <w:rFonts w:ascii="Century Schoolbook" w:hAnsi="Century Schoolbook" w:cs="Times New Roman"/>
          <w:sz w:val="22"/>
          <w:szCs w:val="22"/>
        </w:rPr>
        <w:t xml:space="preserve">Data published by both ABA and NALP </w:t>
      </w:r>
      <w:r>
        <w:rPr>
          <w:rFonts w:ascii="Century Schoolbook" w:hAnsi="Century Schoolbook" w:cs="Times New Roman"/>
          <w:sz w:val="22"/>
          <w:szCs w:val="22"/>
        </w:rPr>
        <w:t xml:space="preserve">(National Association for Law Placement) </w:t>
      </w:r>
      <w:r w:rsidRPr="008F3E1D">
        <w:rPr>
          <w:rFonts w:ascii="Century Schoolbook" w:hAnsi="Century Schoolbook" w:cs="Times New Roman"/>
          <w:sz w:val="22"/>
          <w:szCs w:val="22"/>
        </w:rPr>
        <w:t>confirm that the diversity picture</w:t>
      </w:r>
      <w:r>
        <w:rPr>
          <w:rFonts w:ascii="Century Schoolbook" w:hAnsi="Century Schoolbook" w:cs="Times New Roman"/>
          <w:sz w:val="22"/>
          <w:szCs w:val="22"/>
        </w:rPr>
        <w:t>s</w:t>
      </w:r>
      <w:r w:rsidRPr="008F3E1D">
        <w:rPr>
          <w:rFonts w:ascii="Century Schoolbook" w:hAnsi="Century Schoolbook" w:cs="Times New Roman"/>
          <w:sz w:val="22"/>
          <w:szCs w:val="22"/>
        </w:rPr>
        <w:t xml:space="preserve"> based on race, ethnicity</w:t>
      </w:r>
      <w:r>
        <w:rPr>
          <w:rFonts w:ascii="Century Schoolbook" w:hAnsi="Century Schoolbook" w:cs="Times New Roman"/>
          <w:sz w:val="22"/>
          <w:szCs w:val="22"/>
        </w:rPr>
        <w:t>,</w:t>
      </w:r>
      <w:r w:rsidRPr="008F3E1D">
        <w:rPr>
          <w:rFonts w:ascii="Century Schoolbook" w:hAnsi="Century Schoolbook" w:cs="Times New Roman"/>
          <w:sz w:val="22"/>
          <w:szCs w:val="22"/>
        </w:rPr>
        <w:t xml:space="preserve"> </w:t>
      </w:r>
      <w:r>
        <w:rPr>
          <w:rFonts w:ascii="Century Schoolbook" w:hAnsi="Century Schoolbook" w:cs="Times New Roman"/>
          <w:sz w:val="22"/>
          <w:szCs w:val="22"/>
        </w:rPr>
        <w:t>and</w:t>
      </w:r>
      <w:r w:rsidRPr="008F3E1D">
        <w:rPr>
          <w:rFonts w:ascii="Century Schoolbook" w:hAnsi="Century Schoolbook" w:cs="Times New Roman"/>
          <w:sz w:val="22"/>
          <w:szCs w:val="22"/>
        </w:rPr>
        <w:t xml:space="preserve"> sexual orientation among law school graduates continue to be discouraging.</w:t>
      </w:r>
      <w:bookmarkStart w:id="4" w:name="_Ref509176610"/>
      <w:r w:rsidRPr="008F3E1D">
        <w:rPr>
          <w:rStyle w:val="FootnoteReference"/>
          <w:rFonts w:ascii="Century Schoolbook" w:hAnsi="Century Schoolbook" w:cs="Times New Roman"/>
          <w:sz w:val="22"/>
          <w:szCs w:val="22"/>
        </w:rPr>
        <w:footnoteReference w:id="9"/>
      </w:r>
      <w:bookmarkEnd w:id="4"/>
      <w:r w:rsidRPr="008F3E1D">
        <w:rPr>
          <w:rFonts w:ascii="Century Schoolbook" w:hAnsi="Century Schoolbook" w:cs="Times New Roman"/>
          <w:sz w:val="22"/>
          <w:szCs w:val="22"/>
        </w:rPr>
        <w:t xml:space="preserve">  Moreover, as noted above, the divide </w:t>
      </w:r>
      <w:r>
        <w:rPr>
          <w:rFonts w:ascii="Century Schoolbook" w:hAnsi="Century Schoolbook" w:cs="Times New Roman"/>
          <w:sz w:val="22"/>
          <w:szCs w:val="22"/>
        </w:rPr>
        <w:t>grows</w:t>
      </w:r>
      <w:r w:rsidRPr="008F3E1D">
        <w:rPr>
          <w:rFonts w:ascii="Century Schoolbook" w:hAnsi="Century Schoolbook" w:cs="Times New Roman"/>
          <w:sz w:val="22"/>
          <w:szCs w:val="22"/>
        </w:rPr>
        <w:t xml:space="preserve"> as young graduates </w:t>
      </w:r>
      <w:r>
        <w:rPr>
          <w:rFonts w:ascii="Century Schoolbook" w:hAnsi="Century Schoolbook" w:cs="Times New Roman"/>
          <w:sz w:val="22"/>
          <w:szCs w:val="22"/>
        </w:rPr>
        <w:t>advance in seniority.</w:t>
      </w:r>
      <w:r w:rsidRPr="008F3E1D">
        <w:rPr>
          <w:rFonts w:ascii="Century Schoolbook" w:hAnsi="Century Schoolbook" w:cs="Times New Roman"/>
          <w:sz w:val="22"/>
          <w:szCs w:val="22"/>
        </w:rPr>
        <w:t xml:space="preserve">  </w:t>
      </w:r>
      <w:r>
        <w:rPr>
          <w:rFonts w:ascii="Century Schoolbook" w:hAnsi="Century Schoolbook" w:cs="Times New Roman"/>
          <w:sz w:val="22"/>
          <w:szCs w:val="22"/>
        </w:rPr>
        <w:t xml:space="preserve">The picture is particularly bleaker for diverse women lawyers.  </w:t>
      </w:r>
      <w:r w:rsidRPr="008F3E1D">
        <w:rPr>
          <w:rFonts w:ascii="Century Schoolbook" w:hAnsi="Century Schoolbook" w:cs="Times New Roman"/>
          <w:sz w:val="22"/>
          <w:szCs w:val="22"/>
        </w:rPr>
        <w:t xml:space="preserve">Although the NALP 2016 Report on Diversity in U.S. Law Firms </w:t>
      </w:r>
      <w:r>
        <w:rPr>
          <w:rFonts w:ascii="Century Schoolbook" w:hAnsi="Century Schoolbook" w:cs="Times New Roman"/>
          <w:sz w:val="22"/>
          <w:szCs w:val="22"/>
        </w:rPr>
        <w:t>found</w:t>
      </w:r>
      <w:r w:rsidRPr="008F3E1D">
        <w:rPr>
          <w:rFonts w:ascii="Century Schoolbook" w:hAnsi="Century Schoolbook" w:cs="Times New Roman"/>
          <w:sz w:val="22"/>
          <w:szCs w:val="22"/>
        </w:rPr>
        <w:t xml:space="preserve"> that 45% of associates are women, only 12.42% of associates </w:t>
      </w:r>
      <w:r>
        <w:rPr>
          <w:rFonts w:ascii="Century Schoolbook" w:hAnsi="Century Schoolbook" w:cs="Times New Roman"/>
          <w:sz w:val="22"/>
          <w:szCs w:val="22"/>
        </w:rPr>
        <w:t>were</w:t>
      </w:r>
      <w:r w:rsidRPr="008F3E1D">
        <w:rPr>
          <w:rFonts w:ascii="Century Schoolbook" w:hAnsi="Century Schoolbook" w:cs="Times New Roman"/>
          <w:sz w:val="22"/>
          <w:szCs w:val="22"/>
        </w:rPr>
        <w:t xml:space="preserve"> minority women.</w:t>
      </w:r>
      <w:bookmarkStart w:id="5" w:name="_Ref509175185"/>
      <w:r w:rsidRPr="008F3E1D">
        <w:rPr>
          <w:rStyle w:val="FootnoteReference"/>
          <w:rFonts w:ascii="Century Schoolbook" w:hAnsi="Century Schoolbook" w:cs="Times New Roman"/>
          <w:sz w:val="22"/>
          <w:szCs w:val="22"/>
        </w:rPr>
        <w:footnoteReference w:id="10"/>
      </w:r>
      <w:bookmarkEnd w:id="5"/>
      <w:r w:rsidRPr="008F3E1D">
        <w:rPr>
          <w:rFonts w:ascii="Century Schoolbook" w:hAnsi="Century Schoolbook" w:cs="Times New Roman"/>
          <w:sz w:val="22"/>
          <w:szCs w:val="22"/>
        </w:rPr>
        <w:t xml:space="preserve">  Of partners, only 8.05% </w:t>
      </w:r>
      <w:r>
        <w:rPr>
          <w:rFonts w:ascii="Century Schoolbook" w:hAnsi="Century Schoolbook" w:cs="Times New Roman"/>
          <w:sz w:val="22"/>
          <w:szCs w:val="22"/>
        </w:rPr>
        <w:t>were</w:t>
      </w:r>
      <w:r w:rsidRPr="008F3E1D">
        <w:rPr>
          <w:rFonts w:ascii="Century Schoolbook" w:hAnsi="Century Schoolbook" w:cs="Times New Roman"/>
          <w:sz w:val="22"/>
          <w:szCs w:val="22"/>
        </w:rPr>
        <w:t xml:space="preserve"> women and a mere 2.76% minority women.</w:t>
      </w:r>
      <w:r w:rsidRPr="008F3E1D">
        <w:rPr>
          <w:rStyle w:val="FootnoteReference"/>
          <w:rFonts w:ascii="Century Schoolbook" w:hAnsi="Century Schoolbook" w:cs="Times New Roman"/>
          <w:sz w:val="22"/>
          <w:szCs w:val="22"/>
        </w:rPr>
        <w:footnoteReference w:id="11"/>
      </w:r>
      <w:r w:rsidRPr="008F3E1D">
        <w:rPr>
          <w:rFonts w:ascii="Century Schoolbook" w:hAnsi="Century Schoolbook" w:cs="Times New Roman"/>
          <w:sz w:val="22"/>
          <w:szCs w:val="22"/>
        </w:rPr>
        <w:t xml:space="preserve">  Moreover, African American women </w:t>
      </w:r>
      <w:r>
        <w:rPr>
          <w:rFonts w:ascii="Century Schoolbook" w:hAnsi="Century Schoolbook" w:cs="Times New Roman"/>
          <w:sz w:val="22"/>
          <w:szCs w:val="22"/>
        </w:rPr>
        <w:t>comprised</w:t>
      </w:r>
      <w:r w:rsidRPr="008F3E1D">
        <w:rPr>
          <w:rFonts w:ascii="Century Schoolbook" w:hAnsi="Century Schoolbook" w:cs="Times New Roman"/>
          <w:sz w:val="22"/>
          <w:szCs w:val="22"/>
        </w:rPr>
        <w:t xml:space="preserve"> </w:t>
      </w:r>
      <w:r>
        <w:rPr>
          <w:rFonts w:ascii="Century Schoolbook" w:hAnsi="Century Schoolbook" w:cs="Times New Roman"/>
          <w:sz w:val="22"/>
          <w:szCs w:val="22"/>
        </w:rPr>
        <w:t>just</w:t>
      </w:r>
      <w:r w:rsidRPr="008F3E1D">
        <w:rPr>
          <w:rFonts w:ascii="Century Schoolbook" w:hAnsi="Century Schoolbook" w:cs="Times New Roman"/>
          <w:sz w:val="22"/>
          <w:szCs w:val="22"/>
        </w:rPr>
        <w:t xml:space="preserve"> 2.32% of associates and 0.64% of partners.</w:t>
      </w:r>
      <w:r w:rsidRPr="008F3E1D">
        <w:rPr>
          <w:rStyle w:val="FootnoteReference"/>
          <w:rFonts w:ascii="Century Schoolbook" w:hAnsi="Century Schoolbook" w:cs="Times New Roman"/>
          <w:sz w:val="22"/>
          <w:szCs w:val="22"/>
        </w:rPr>
        <w:footnoteReference w:id="12"/>
      </w:r>
    </w:p>
    <w:p w:rsidR="00625B3F" w:rsidRPr="008F3E1D" w:rsidRDefault="00625B3F" w:rsidP="00625B3F">
      <w:pPr>
        <w:widowControl w:val="0"/>
        <w:spacing w:line="360" w:lineRule="auto"/>
        <w:ind w:firstLine="720"/>
        <w:rPr>
          <w:rFonts w:ascii="Century Schoolbook" w:hAnsi="Century Schoolbook" w:cs="Times New Roman"/>
          <w:sz w:val="22"/>
          <w:szCs w:val="22"/>
        </w:rPr>
      </w:pPr>
      <w:r w:rsidRPr="008F3E1D">
        <w:rPr>
          <w:rFonts w:ascii="Century Schoolbook" w:hAnsi="Century Schoolbook" w:cs="Times New Roman"/>
          <w:sz w:val="22"/>
          <w:szCs w:val="22"/>
        </w:rPr>
        <w:t>Similarly, the NALP Directory of Legal Employers reported that in 2016, only 2.48% of lawyers identif</w:t>
      </w:r>
      <w:r>
        <w:rPr>
          <w:rFonts w:ascii="Century Schoolbook" w:hAnsi="Century Schoolbook" w:cs="Times New Roman"/>
          <w:sz w:val="22"/>
          <w:szCs w:val="22"/>
        </w:rPr>
        <w:t>ied</w:t>
      </w:r>
      <w:r w:rsidRPr="008F3E1D">
        <w:rPr>
          <w:rFonts w:ascii="Century Schoolbook" w:hAnsi="Century Schoolbook" w:cs="Times New Roman"/>
          <w:sz w:val="22"/>
          <w:szCs w:val="22"/>
        </w:rPr>
        <w:t xml:space="preserve"> as openly lesbian, gay, bisexual</w:t>
      </w:r>
      <w:r>
        <w:rPr>
          <w:rFonts w:ascii="Century Schoolbook" w:hAnsi="Century Schoolbook" w:cs="Times New Roman"/>
          <w:sz w:val="22"/>
          <w:szCs w:val="22"/>
        </w:rPr>
        <w:t>, or</w:t>
      </w:r>
      <w:r w:rsidRPr="008F3E1D">
        <w:rPr>
          <w:rFonts w:ascii="Century Schoolbook" w:hAnsi="Century Schoolbook" w:cs="Times New Roman"/>
          <w:sz w:val="22"/>
          <w:szCs w:val="22"/>
        </w:rPr>
        <w:t xml:space="preserve"> transgender.</w:t>
      </w:r>
      <w:r w:rsidRPr="008F3E1D">
        <w:rPr>
          <w:rStyle w:val="FootnoteReference"/>
          <w:rFonts w:ascii="Century Schoolbook" w:hAnsi="Century Schoolbook" w:cs="Times New Roman"/>
          <w:sz w:val="22"/>
          <w:szCs w:val="22"/>
        </w:rPr>
        <w:footnoteReference w:id="13"/>
      </w:r>
      <w:r w:rsidRPr="008F3E1D">
        <w:rPr>
          <w:rFonts w:ascii="Century Schoolbook" w:hAnsi="Century Schoolbook" w:cs="Times New Roman"/>
          <w:sz w:val="22"/>
          <w:szCs w:val="22"/>
        </w:rPr>
        <w:t xml:space="preserve">  Perhaps not surprisingly, the highest numbers are at the largest law firms (those with 701-plus lawyers) and among associates (3.24% overall, compared to 1.89% for partners).</w:t>
      </w:r>
      <w:r w:rsidRPr="008F3E1D">
        <w:rPr>
          <w:rStyle w:val="FootnoteReference"/>
          <w:rFonts w:ascii="Century Schoolbook" w:hAnsi="Century Schoolbook" w:cs="Times New Roman"/>
          <w:sz w:val="22"/>
          <w:szCs w:val="22"/>
        </w:rPr>
        <w:footnoteReference w:id="14"/>
      </w:r>
      <w:r w:rsidRPr="008F3E1D">
        <w:rPr>
          <w:rFonts w:ascii="Century Schoolbook" w:hAnsi="Century Schoolbook" w:cs="Times New Roman"/>
          <w:sz w:val="22"/>
          <w:szCs w:val="22"/>
        </w:rPr>
        <w:t xml:space="preserve">  There is also wide geographic variation, with most of the LGBT attorney presence clustered in New York City, Washington, D.C., Los Angeles, and San Francisco.</w:t>
      </w:r>
      <w:r w:rsidRPr="008F3E1D">
        <w:rPr>
          <w:rStyle w:val="FootnoteReference"/>
          <w:rFonts w:ascii="Century Schoolbook" w:hAnsi="Century Schoolbook" w:cs="Times New Roman"/>
          <w:sz w:val="22"/>
          <w:szCs w:val="22"/>
        </w:rPr>
        <w:footnoteReference w:id="15"/>
      </w:r>
    </w:p>
    <w:p w:rsidR="00625B3F" w:rsidRDefault="00625B3F" w:rsidP="00625B3F">
      <w:pPr>
        <w:widowControl w:val="0"/>
        <w:spacing w:line="360" w:lineRule="auto"/>
        <w:ind w:firstLine="720"/>
        <w:rPr>
          <w:rFonts w:ascii="Century Schoolbook" w:hAnsi="Century Schoolbook" w:cs="Times New Roman"/>
          <w:sz w:val="22"/>
          <w:szCs w:val="22"/>
        </w:rPr>
      </w:pPr>
      <w:r w:rsidRPr="008F3E1D">
        <w:rPr>
          <w:rFonts w:ascii="Century Schoolbook" w:hAnsi="Century Schoolbook" w:cs="Times New Roman"/>
          <w:sz w:val="22"/>
          <w:szCs w:val="22"/>
        </w:rPr>
        <w:t>A 2016 ABA questionnaire reflect</w:t>
      </w:r>
      <w:r>
        <w:rPr>
          <w:rFonts w:ascii="Century Schoolbook" w:hAnsi="Century Schoolbook" w:cs="Times New Roman"/>
          <w:sz w:val="22"/>
          <w:szCs w:val="22"/>
        </w:rPr>
        <w:t>ed</w:t>
      </w:r>
      <w:r w:rsidRPr="008F3E1D">
        <w:rPr>
          <w:rFonts w:ascii="Century Schoolbook" w:hAnsi="Century Schoolbook" w:cs="Times New Roman"/>
          <w:sz w:val="22"/>
          <w:szCs w:val="22"/>
        </w:rPr>
        <w:t xml:space="preserve"> that of the 34,179 degrees awarded by ABA-approved law schools, less than a third (10,831) went to candidates representing racial or ethnic minorities.</w:t>
      </w:r>
      <w:r w:rsidRPr="008F3E1D">
        <w:rPr>
          <w:rStyle w:val="FootnoteReference"/>
          <w:rFonts w:ascii="Century Schoolbook" w:hAnsi="Century Schoolbook" w:cs="Times New Roman"/>
          <w:sz w:val="22"/>
          <w:szCs w:val="22"/>
        </w:rPr>
        <w:footnoteReference w:id="16"/>
      </w:r>
      <w:r w:rsidRPr="008F3E1D">
        <w:rPr>
          <w:rFonts w:ascii="Century Schoolbook" w:hAnsi="Century Schoolbook" w:cs="Times New Roman"/>
          <w:sz w:val="22"/>
          <w:szCs w:val="22"/>
        </w:rPr>
        <w:t xml:space="preserve">   NALP has reported that in 2014, just over 600 law school graduates identified as lesbian, gay or bisexual and only 15 identified as transgender.</w:t>
      </w:r>
      <w:r w:rsidRPr="008F3E1D">
        <w:rPr>
          <w:rStyle w:val="FootnoteReference"/>
          <w:rFonts w:ascii="Century Schoolbook" w:hAnsi="Century Schoolbook" w:cs="Times New Roman"/>
          <w:sz w:val="22"/>
          <w:szCs w:val="22"/>
        </w:rPr>
        <w:footnoteReference w:id="17"/>
      </w:r>
      <w:r w:rsidRPr="008F3E1D">
        <w:rPr>
          <w:rFonts w:ascii="Century Schoolbook" w:hAnsi="Century Schoolbook" w:cs="Times New Roman"/>
          <w:sz w:val="22"/>
          <w:szCs w:val="22"/>
        </w:rPr>
        <w:t xml:space="preserve">  Of these individuals, 43% were women.</w:t>
      </w:r>
      <w:r w:rsidRPr="008F3E1D">
        <w:rPr>
          <w:rStyle w:val="FootnoteReference"/>
          <w:rFonts w:ascii="Century Schoolbook" w:hAnsi="Century Schoolbook" w:cs="Times New Roman"/>
          <w:sz w:val="22"/>
          <w:szCs w:val="22"/>
        </w:rPr>
        <w:footnoteReference w:id="18"/>
      </w:r>
    </w:p>
    <w:p w:rsidR="00625B3F" w:rsidRDefault="00625B3F" w:rsidP="00625B3F">
      <w:pPr>
        <w:pStyle w:val="ListParagraph"/>
        <w:numPr>
          <w:ilvl w:val="0"/>
          <w:numId w:val="5"/>
        </w:numPr>
        <w:spacing w:after="120"/>
        <w:rPr>
          <w:rFonts w:ascii="Century Schoolbook" w:hAnsi="Century Schoolbook" w:cs="Times New Roman"/>
          <w:b/>
          <w:sz w:val="22"/>
          <w:szCs w:val="22"/>
        </w:rPr>
      </w:pPr>
      <w:r w:rsidRPr="006E1157">
        <w:rPr>
          <w:rFonts w:ascii="Century Schoolbook" w:hAnsi="Century Schoolbook" w:cs="Times New Roman"/>
          <w:b/>
          <w:sz w:val="22"/>
          <w:szCs w:val="22"/>
        </w:rPr>
        <w:t xml:space="preserve">Few Women and </w:t>
      </w:r>
      <w:r>
        <w:rPr>
          <w:rFonts w:ascii="Century Schoolbook" w:hAnsi="Century Schoolbook" w:cs="Times New Roman"/>
          <w:b/>
          <w:sz w:val="22"/>
          <w:szCs w:val="22"/>
        </w:rPr>
        <w:t>Diverse</w:t>
      </w:r>
      <w:r w:rsidRPr="006E1157">
        <w:rPr>
          <w:rFonts w:ascii="Century Schoolbook" w:hAnsi="Century Schoolbook" w:cs="Times New Roman"/>
          <w:b/>
          <w:sz w:val="22"/>
          <w:szCs w:val="22"/>
        </w:rPr>
        <w:t xml:space="preserve"> Lawyers in Mass-Tort MDL and Class Action Leadership Positions</w:t>
      </w:r>
    </w:p>
    <w:p w:rsidR="00625B3F" w:rsidRPr="000238F0" w:rsidRDefault="00625B3F" w:rsidP="00625B3F">
      <w:pPr>
        <w:spacing w:line="360" w:lineRule="auto"/>
        <w:ind w:firstLine="720"/>
        <w:rPr>
          <w:rFonts w:ascii="Century Schoolbook" w:hAnsi="Century Schoolbook"/>
          <w:sz w:val="22"/>
          <w:szCs w:val="22"/>
        </w:rPr>
      </w:pPr>
      <w:r w:rsidRPr="000238F0">
        <w:rPr>
          <w:rFonts w:ascii="Century Schoolbook" w:hAnsi="Century Schoolbook"/>
          <w:sz w:val="22"/>
          <w:szCs w:val="22"/>
        </w:rPr>
        <w:t xml:space="preserve">By virtue of their size and import, mass tort and class action litigation typically require teams of plaintiffs’ lawyers to work cooperatively to effectively litigate a matter. In both types of cases, law firms from around the country pool resources to review millions of pages of documents, handle depositions, draft pleadings, hire experts, and, ultimately, try cases. Organizing all of those tasks, and </w:t>
      </w:r>
      <w:r>
        <w:rPr>
          <w:rFonts w:ascii="Century Schoolbook" w:hAnsi="Century Schoolbook"/>
          <w:sz w:val="22"/>
          <w:szCs w:val="22"/>
        </w:rPr>
        <w:t>many</w:t>
      </w:r>
      <w:r w:rsidRPr="000238F0">
        <w:rPr>
          <w:rFonts w:ascii="Century Schoolbook" w:hAnsi="Century Schoolbook"/>
          <w:sz w:val="22"/>
          <w:szCs w:val="22"/>
        </w:rPr>
        <w:t xml:space="preserve"> lawyers, requires effective leadership. </w:t>
      </w:r>
    </w:p>
    <w:p w:rsidR="00625B3F" w:rsidRDefault="00625B3F" w:rsidP="00625B3F">
      <w:pPr>
        <w:spacing w:line="360" w:lineRule="auto"/>
        <w:ind w:firstLine="720"/>
        <w:rPr>
          <w:rFonts w:ascii="Century Schoolbook" w:hAnsi="Century Schoolbook"/>
          <w:sz w:val="22"/>
          <w:szCs w:val="22"/>
        </w:rPr>
      </w:pPr>
      <w:r w:rsidRPr="008F3E1D">
        <w:rPr>
          <w:rFonts w:ascii="Century Schoolbook" w:hAnsi="Century Schoolbook"/>
          <w:sz w:val="22"/>
          <w:szCs w:val="22"/>
        </w:rPr>
        <w:t xml:space="preserve">The necessity of these </w:t>
      </w:r>
      <w:r w:rsidRPr="00B814F9">
        <w:rPr>
          <w:rFonts w:ascii="Century Schoolbook" w:hAnsi="Century Schoolbook"/>
          <w:i/>
          <w:sz w:val="22"/>
          <w:szCs w:val="22"/>
        </w:rPr>
        <w:t>Guidelines and Best Practices</w:t>
      </w:r>
      <w:r w:rsidRPr="008F3E1D">
        <w:rPr>
          <w:rFonts w:ascii="Century Schoolbook" w:hAnsi="Century Schoolbook"/>
          <w:sz w:val="22"/>
          <w:szCs w:val="22"/>
        </w:rPr>
        <w:t xml:space="preserve"> is underscored by recent studies </w:t>
      </w:r>
      <w:r>
        <w:rPr>
          <w:rFonts w:ascii="Century Schoolbook" w:hAnsi="Century Schoolbook"/>
          <w:sz w:val="22"/>
          <w:szCs w:val="22"/>
        </w:rPr>
        <w:t>demonstrating</w:t>
      </w:r>
      <w:r w:rsidRPr="008F3E1D">
        <w:rPr>
          <w:rFonts w:ascii="Century Schoolbook" w:hAnsi="Century Schoolbook"/>
          <w:sz w:val="22"/>
          <w:szCs w:val="22"/>
        </w:rPr>
        <w:t xml:space="preserve"> the lack of female leadership in complex litigation. A 2016 study published by the American Bar Foundation and the </w:t>
      </w:r>
      <w:r>
        <w:rPr>
          <w:rFonts w:ascii="Century Schoolbook" w:hAnsi="Century Schoolbook"/>
          <w:sz w:val="22"/>
          <w:szCs w:val="22"/>
        </w:rPr>
        <w:t>ABA’s</w:t>
      </w:r>
      <w:r w:rsidRPr="008F3E1D">
        <w:rPr>
          <w:rFonts w:ascii="Century Schoolbook" w:hAnsi="Century Schoolbook"/>
          <w:sz w:val="22"/>
          <w:szCs w:val="22"/>
        </w:rPr>
        <w:t xml:space="preserve"> Commission of Women in the Profession, </w:t>
      </w:r>
      <w:r w:rsidRPr="008F3E1D">
        <w:rPr>
          <w:rFonts w:ascii="Century Schoolbook" w:hAnsi="Century Schoolbook"/>
          <w:i/>
          <w:sz w:val="22"/>
          <w:szCs w:val="22"/>
        </w:rPr>
        <w:t>First Chairs at Trial</w:t>
      </w:r>
      <w:r w:rsidRPr="008F3E1D">
        <w:rPr>
          <w:rFonts w:ascii="Century Schoolbook" w:hAnsi="Century Schoolbook"/>
          <w:sz w:val="22"/>
          <w:szCs w:val="22"/>
        </w:rPr>
        <w:t>,</w:t>
      </w:r>
      <w:r w:rsidRPr="008F3E1D">
        <w:rPr>
          <w:rStyle w:val="FootnoteReference"/>
          <w:rFonts w:ascii="Century Schoolbook" w:hAnsi="Century Schoolbook"/>
          <w:sz w:val="22"/>
          <w:szCs w:val="22"/>
        </w:rPr>
        <w:footnoteReference w:id="19"/>
      </w:r>
      <w:r w:rsidRPr="008F3E1D">
        <w:rPr>
          <w:rFonts w:ascii="Century Schoolbook" w:hAnsi="Century Schoolbook"/>
          <w:sz w:val="22"/>
          <w:szCs w:val="22"/>
        </w:rPr>
        <w:t xml:space="preserve"> revealed that women are consistently underrepresented in lead counsel positions. In civil cases, men are three times more likely than women to appear as lead counsel and as trial attorneys. In the majority of civil cases (59%) analyzed, lead counsel were all men; 13% had all women as lead counsel. Lawyers appearing as lead counsel in class actions revealed the starkest results, with 87% being male, and only 13% being female. These numbers are particularly jarring given that roughly 32% of all lawyers appearing in civil cases in the district studied were women.</w:t>
      </w:r>
      <w:r w:rsidRPr="008F3E1D">
        <w:rPr>
          <w:rStyle w:val="FootnoteReference"/>
          <w:rFonts w:ascii="Century Schoolbook" w:hAnsi="Century Schoolbook"/>
          <w:sz w:val="22"/>
          <w:szCs w:val="22"/>
        </w:rPr>
        <w:footnoteReference w:id="20"/>
      </w:r>
      <w:r w:rsidRPr="008F3E1D">
        <w:rPr>
          <w:rFonts w:ascii="Century Schoolbook" w:hAnsi="Century Schoolbook"/>
          <w:sz w:val="22"/>
          <w:szCs w:val="22"/>
        </w:rPr>
        <w:t xml:space="preserve"> Clearly, women are present in the courtroom in sizable numbers, but </w:t>
      </w:r>
      <w:r>
        <w:rPr>
          <w:rFonts w:ascii="Century Schoolbook" w:hAnsi="Century Schoolbook"/>
          <w:sz w:val="22"/>
          <w:szCs w:val="22"/>
        </w:rPr>
        <w:t xml:space="preserve">they </w:t>
      </w:r>
      <w:r w:rsidRPr="008F3E1D">
        <w:rPr>
          <w:rFonts w:ascii="Century Schoolbook" w:hAnsi="Century Schoolbook"/>
          <w:sz w:val="22"/>
          <w:szCs w:val="22"/>
        </w:rPr>
        <w:t xml:space="preserve">are not finding opportunities to be lead counsel, and </w:t>
      </w:r>
      <w:r>
        <w:rPr>
          <w:rFonts w:ascii="Century Schoolbook" w:hAnsi="Century Schoolbook"/>
          <w:sz w:val="22"/>
          <w:szCs w:val="22"/>
        </w:rPr>
        <w:t xml:space="preserve">they </w:t>
      </w:r>
      <w:r w:rsidRPr="008F3E1D">
        <w:rPr>
          <w:rFonts w:ascii="Century Schoolbook" w:hAnsi="Century Schoolbook"/>
          <w:sz w:val="22"/>
          <w:szCs w:val="22"/>
        </w:rPr>
        <w:t xml:space="preserve">are not getting recognized for the work they are doing on their cases. </w:t>
      </w:r>
    </w:p>
    <w:p w:rsidR="00625B3F" w:rsidRPr="008F3E1D" w:rsidRDefault="00625B3F" w:rsidP="00625B3F">
      <w:pPr>
        <w:spacing w:line="360" w:lineRule="auto"/>
        <w:ind w:firstLine="720"/>
        <w:rPr>
          <w:rFonts w:ascii="Century Schoolbook" w:hAnsi="Century Schoolbook" w:cs="Times New Roman"/>
          <w:sz w:val="22"/>
          <w:szCs w:val="22"/>
        </w:rPr>
      </w:pPr>
      <w:r w:rsidRPr="008F3E1D">
        <w:rPr>
          <w:rFonts w:ascii="Century Schoolbook" w:hAnsi="Century Schoolbook" w:cs="Times New Roman"/>
          <w:sz w:val="22"/>
          <w:szCs w:val="22"/>
        </w:rPr>
        <w:t xml:space="preserve">Looking specifically at class action and MDL litigation, the </w:t>
      </w:r>
      <w:r>
        <w:rPr>
          <w:rFonts w:ascii="Century Schoolbook" w:hAnsi="Century Schoolbook" w:cs="Times New Roman"/>
          <w:sz w:val="22"/>
          <w:szCs w:val="22"/>
        </w:rPr>
        <w:t>study</w:t>
      </w:r>
      <w:r w:rsidRPr="008F3E1D">
        <w:rPr>
          <w:rFonts w:ascii="Century Schoolbook" w:hAnsi="Century Schoolbook" w:cs="Times New Roman"/>
          <w:sz w:val="22"/>
          <w:szCs w:val="22"/>
        </w:rPr>
        <w:t xml:space="preserve"> found that 71% of class actions did not have any women lead counsel.  MDL data also reflect a </w:t>
      </w:r>
      <w:r>
        <w:rPr>
          <w:rFonts w:ascii="Century Schoolbook" w:hAnsi="Century Schoolbook" w:cs="Times New Roman"/>
          <w:sz w:val="22"/>
          <w:szCs w:val="22"/>
        </w:rPr>
        <w:t>significant gender</w:t>
      </w:r>
      <w:r w:rsidRPr="008F3E1D">
        <w:rPr>
          <w:rFonts w:ascii="Century Schoolbook" w:hAnsi="Century Schoolbook" w:cs="Times New Roman"/>
          <w:sz w:val="22"/>
          <w:szCs w:val="22"/>
        </w:rPr>
        <w:t xml:space="preserve"> divide.  According to a study of MDLs pending as of April 15, 2014, men were appointed to lead counsel 11.8 times more often than women from 2000 to 2004, 6.73 times more often from 2005 to 2009, and 3.02 times more often from 2010 to 2014.  </w:t>
      </w:r>
      <w:r>
        <w:rPr>
          <w:rFonts w:ascii="Century Schoolbook" w:hAnsi="Century Schoolbook" w:cs="Times New Roman"/>
          <w:sz w:val="22"/>
          <w:szCs w:val="22"/>
        </w:rPr>
        <w:t>Although</w:t>
      </w:r>
      <w:r w:rsidRPr="008F3E1D">
        <w:rPr>
          <w:rFonts w:ascii="Century Schoolbook" w:hAnsi="Century Schoolbook" w:cs="Times New Roman"/>
          <w:sz w:val="22"/>
          <w:szCs w:val="22"/>
        </w:rPr>
        <w:t xml:space="preserve"> </w:t>
      </w:r>
      <w:r>
        <w:rPr>
          <w:rFonts w:ascii="Century Schoolbook" w:hAnsi="Century Schoolbook" w:cs="Times New Roman"/>
          <w:sz w:val="22"/>
          <w:szCs w:val="22"/>
        </w:rPr>
        <w:t>the gap</w:t>
      </w:r>
      <w:r w:rsidRPr="008F3E1D">
        <w:rPr>
          <w:rFonts w:ascii="Century Schoolbook" w:hAnsi="Century Schoolbook" w:cs="Times New Roman"/>
          <w:sz w:val="22"/>
          <w:szCs w:val="22"/>
        </w:rPr>
        <w:t xml:space="preserve"> </w:t>
      </w:r>
      <w:r>
        <w:rPr>
          <w:rFonts w:ascii="Century Schoolbook" w:hAnsi="Century Schoolbook" w:cs="Times New Roman"/>
          <w:sz w:val="22"/>
          <w:szCs w:val="22"/>
        </w:rPr>
        <w:t>is slowly narrowing</w:t>
      </w:r>
      <w:r w:rsidRPr="008F3E1D">
        <w:rPr>
          <w:rFonts w:ascii="Century Schoolbook" w:hAnsi="Century Schoolbook" w:cs="Times New Roman"/>
          <w:sz w:val="22"/>
          <w:szCs w:val="22"/>
        </w:rPr>
        <w:t xml:space="preserve">, there remains a good way to go.  Men continue to </w:t>
      </w:r>
      <w:r>
        <w:rPr>
          <w:rFonts w:ascii="Century Schoolbook" w:hAnsi="Century Schoolbook" w:cs="Times New Roman"/>
          <w:sz w:val="22"/>
          <w:szCs w:val="22"/>
        </w:rPr>
        <w:t xml:space="preserve">secure </w:t>
      </w:r>
      <w:r w:rsidRPr="008F3E1D">
        <w:rPr>
          <w:rFonts w:ascii="Century Schoolbook" w:hAnsi="Century Schoolbook" w:cs="Times New Roman"/>
          <w:sz w:val="22"/>
          <w:szCs w:val="22"/>
        </w:rPr>
        <w:t xml:space="preserve">5.47 times more </w:t>
      </w:r>
      <w:r>
        <w:rPr>
          <w:rFonts w:ascii="Century Schoolbook" w:hAnsi="Century Schoolbook" w:cs="Times New Roman"/>
          <w:sz w:val="22"/>
          <w:szCs w:val="22"/>
        </w:rPr>
        <w:t xml:space="preserve">executive committee appointments </w:t>
      </w:r>
      <w:r w:rsidRPr="008F3E1D">
        <w:rPr>
          <w:rFonts w:ascii="Century Schoolbook" w:hAnsi="Century Schoolbook" w:cs="Times New Roman"/>
          <w:sz w:val="22"/>
          <w:szCs w:val="22"/>
        </w:rPr>
        <w:t xml:space="preserve">than </w:t>
      </w:r>
      <w:r>
        <w:rPr>
          <w:rFonts w:ascii="Century Schoolbook" w:hAnsi="Century Schoolbook" w:cs="Times New Roman"/>
          <w:sz w:val="22"/>
          <w:szCs w:val="22"/>
        </w:rPr>
        <w:t xml:space="preserve">do </w:t>
      </w:r>
      <w:r w:rsidRPr="008F3E1D">
        <w:rPr>
          <w:rFonts w:ascii="Century Schoolbook" w:hAnsi="Century Schoolbook" w:cs="Times New Roman"/>
          <w:sz w:val="22"/>
          <w:szCs w:val="22"/>
        </w:rPr>
        <w:t xml:space="preserve">women.  In fact, the Bureau </w:t>
      </w:r>
      <w:r>
        <w:rPr>
          <w:rFonts w:ascii="Century Schoolbook" w:hAnsi="Century Schoolbook" w:cs="Times New Roman"/>
          <w:sz w:val="22"/>
          <w:szCs w:val="22"/>
        </w:rPr>
        <w:t>o</w:t>
      </w:r>
      <w:r w:rsidRPr="008F3E1D">
        <w:rPr>
          <w:rFonts w:ascii="Century Schoolbook" w:hAnsi="Century Schoolbook" w:cs="Times New Roman"/>
          <w:sz w:val="22"/>
          <w:szCs w:val="22"/>
        </w:rPr>
        <w:t>f Nation</w:t>
      </w:r>
      <w:r>
        <w:rPr>
          <w:rFonts w:ascii="Century Schoolbook" w:hAnsi="Century Schoolbook" w:cs="Times New Roman"/>
          <w:sz w:val="22"/>
          <w:szCs w:val="22"/>
        </w:rPr>
        <w:t>a</w:t>
      </w:r>
      <w:r w:rsidRPr="008F3E1D">
        <w:rPr>
          <w:rFonts w:ascii="Century Schoolbook" w:hAnsi="Century Schoolbook" w:cs="Times New Roman"/>
          <w:sz w:val="22"/>
          <w:szCs w:val="22"/>
        </w:rPr>
        <w:t>l Affairs reported in February 2017 that between 2011 and 2015, women made up just 16.55% of all plaintiffs’ MDL leadership appointments.</w:t>
      </w:r>
      <w:r w:rsidRPr="008F3E1D">
        <w:rPr>
          <w:rStyle w:val="FootnoteReference"/>
          <w:rFonts w:ascii="Century Schoolbook" w:hAnsi="Century Schoolbook" w:cs="Times New Roman"/>
          <w:sz w:val="22"/>
          <w:szCs w:val="22"/>
        </w:rPr>
        <w:footnoteReference w:id="21"/>
      </w:r>
      <w:r w:rsidRPr="008F3E1D">
        <w:rPr>
          <w:rFonts w:ascii="Century Schoolbook" w:hAnsi="Century Schoolbook" w:cs="Times New Roman"/>
          <w:sz w:val="22"/>
          <w:szCs w:val="22"/>
        </w:rPr>
        <w:t xml:space="preserve">  </w:t>
      </w:r>
    </w:p>
    <w:p w:rsidR="00625B3F" w:rsidRPr="008F3E1D" w:rsidRDefault="00625B3F" w:rsidP="00625B3F">
      <w:pPr>
        <w:spacing w:line="360" w:lineRule="auto"/>
        <w:ind w:firstLine="720"/>
        <w:rPr>
          <w:rFonts w:ascii="Century Schoolbook" w:hAnsi="Century Schoolbook" w:cs="Times New Roman"/>
          <w:sz w:val="22"/>
          <w:szCs w:val="22"/>
        </w:rPr>
      </w:pPr>
      <w:r w:rsidRPr="008F3E1D">
        <w:rPr>
          <w:rFonts w:ascii="Century Schoolbook" w:hAnsi="Century Schoolbook" w:cs="Times New Roman"/>
          <w:sz w:val="22"/>
          <w:szCs w:val="22"/>
        </w:rPr>
        <w:t xml:space="preserve">So why aren’t women attaining class action and MDL leadership positions and what is there to do about it?  Is there a way to get past the current chicken-and-egg conundrum?  Women </w:t>
      </w:r>
      <w:r>
        <w:rPr>
          <w:rFonts w:ascii="Century Schoolbook" w:hAnsi="Century Schoolbook" w:cs="Times New Roman"/>
          <w:sz w:val="22"/>
          <w:szCs w:val="22"/>
        </w:rPr>
        <w:t>may be perceived as unqualified</w:t>
      </w:r>
      <w:r w:rsidRPr="008F3E1D">
        <w:rPr>
          <w:rFonts w:ascii="Century Schoolbook" w:hAnsi="Century Schoolbook" w:cs="Times New Roman"/>
          <w:sz w:val="22"/>
          <w:szCs w:val="22"/>
        </w:rPr>
        <w:t xml:space="preserve"> for leadership roles</w:t>
      </w:r>
      <w:r>
        <w:rPr>
          <w:rFonts w:ascii="Century Schoolbook" w:hAnsi="Century Schoolbook" w:cs="Times New Roman"/>
          <w:sz w:val="22"/>
          <w:szCs w:val="22"/>
        </w:rPr>
        <w:t>,</w:t>
      </w:r>
      <w:r w:rsidRPr="008F3E1D">
        <w:rPr>
          <w:rFonts w:ascii="Century Schoolbook" w:hAnsi="Century Schoolbook" w:cs="Times New Roman"/>
          <w:sz w:val="22"/>
          <w:szCs w:val="22"/>
        </w:rPr>
        <w:t xml:space="preserve"> and because </w:t>
      </w:r>
      <w:r>
        <w:rPr>
          <w:rFonts w:ascii="Century Schoolbook" w:hAnsi="Century Schoolbook" w:cs="Times New Roman"/>
          <w:sz w:val="22"/>
          <w:szCs w:val="22"/>
        </w:rPr>
        <w:t>of this perception, women</w:t>
      </w:r>
      <w:r w:rsidRPr="008F3E1D">
        <w:rPr>
          <w:rFonts w:ascii="Century Schoolbook" w:hAnsi="Century Schoolbook" w:cs="Times New Roman"/>
          <w:sz w:val="22"/>
          <w:szCs w:val="22"/>
        </w:rPr>
        <w:t xml:space="preserve"> do</w:t>
      </w:r>
      <w:r>
        <w:rPr>
          <w:rFonts w:ascii="Century Schoolbook" w:hAnsi="Century Schoolbook" w:cs="Times New Roman"/>
          <w:sz w:val="22"/>
          <w:szCs w:val="22"/>
        </w:rPr>
        <w:t xml:space="preserve"> no</w:t>
      </w:r>
      <w:r w:rsidRPr="008F3E1D">
        <w:rPr>
          <w:rFonts w:ascii="Century Schoolbook" w:hAnsi="Century Schoolbook" w:cs="Times New Roman"/>
          <w:sz w:val="22"/>
          <w:szCs w:val="22"/>
        </w:rPr>
        <w:t>t receive leadership roles</w:t>
      </w:r>
      <w:r>
        <w:rPr>
          <w:rFonts w:ascii="Century Schoolbook" w:hAnsi="Century Schoolbook" w:cs="Times New Roman"/>
          <w:sz w:val="22"/>
          <w:szCs w:val="22"/>
        </w:rPr>
        <w:t>.</w:t>
      </w:r>
      <w:r w:rsidRPr="008F3E1D">
        <w:rPr>
          <w:rFonts w:ascii="Century Schoolbook" w:hAnsi="Century Schoolbook" w:cs="Times New Roman"/>
          <w:sz w:val="22"/>
          <w:szCs w:val="22"/>
        </w:rPr>
        <w:t xml:space="preserve"> </w:t>
      </w:r>
      <w:r>
        <w:rPr>
          <w:rFonts w:ascii="Century Schoolbook" w:hAnsi="Century Schoolbook" w:cs="Times New Roman"/>
          <w:sz w:val="22"/>
          <w:szCs w:val="22"/>
        </w:rPr>
        <w:t>T</w:t>
      </w:r>
      <w:r w:rsidRPr="008F3E1D">
        <w:rPr>
          <w:rFonts w:ascii="Century Schoolbook" w:hAnsi="Century Schoolbook" w:cs="Times New Roman"/>
          <w:sz w:val="22"/>
          <w:szCs w:val="22"/>
        </w:rPr>
        <w:t>hey are blocked from developing the qualifications</w:t>
      </w:r>
      <w:r>
        <w:rPr>
          <w:rFonts w:ascii="Century Schoolbook" w:hAnsi="Century Schoolbook" w:cs="Times New Roman"/>
          <w:sz w:val="22"/>
          <w:szCs w:val="22"/>
        </w:rPr>
        <w:t xml:space="preserve"> deemed prerequisites for lead counsel service</w:t>
      </w:r>
      <w:r w:rsidRPr="008F3E1D">
        <w:rPr>
          <w:rFonts w:ascii="Century Schoolbook" w:hAnsi="Century Schoolbook" w:cs="Times New Roman"/>
          <w:sz w:val="22"/>
          <w:szCs w:val="22"/>
        </w:rPr>
        <w:t>.</w:t>
      </w:r>
      <w:r w:rsidRPr="008F3E1D">
        <w:rPr>
          <w:rStyle w:val="FootnoteReference"/>
          <w:rFonts w:ascii="Century Schoolbook" w:hAnsi="Century Schoolbook" w:cs="Times New Roman"/>
          <w:sz w:val="22"/>
          <w:szCs w:val="22"/>
        </w:rPr>
        <w:footnoteReference w:id="22"/>
      </w:r>
    </w:p>
    <w:p w:rsidR="00625B3F" w:rsidRPr="003E0FAD" w:rsidRDefault="00625B3F" w:rsidP="00625B3F">
      <w:pPr>
        <w:pStyle w:val="ListParagraph"/>
        <w:numPr>
          <w:ilvl w:val="0"/>
          <w:numId w:val="5"/>
        </w:numPr>
        <w:spacing w:line="360" w:lineRule="auto"/>
        <w:rPr>
          <w:rFonts w:ascii="Century Schoolbook" w:hAnsi="Century Schoolbook" w:cs="Times New Roman"/>
          <w:b/>
          <w:sz w:val="22"/>
          <w:szCs w:val="22"/>
        </w:rPr>
      </w:pPr>
      <w:r w:rsidRPr="003E0FAD">
        <w:rPr>
          <w:rFonts w:ascii="Century Schoolbook" w:hAnsi="Century Schoolbook" w:cs="Times New Roman"/>
          <w:b/>
          <w:sz w:val="22"/>
          <w:szCs w:val="22"/>
        </w:rPr>
        <w:t xml:space="preserve">Barriers to Appointment </w:t>
      </w:r>
    </w:p>
    <w:p w:rsidR="00625B3F" w:rsidRPr="008F3E1D" w:rsidRDefault="00625B3F" w:rsidP="00625B3F">
      <w:pPr>
        <w:widowControl w:val="0"/>
        <w:spacing w:line="360" w:lineRule="auto"/>
        <w:ind w:firstLine="720"/>
        <w:rPr>
          <w:rFonts w:ascii="Century Schoolbook" w:hAnsi="Century Schoolbook" w:cs="Times New Roman"/>
          <w:sz w:val="22"/>
          <w:szCs w:val="22"/>
        </w:rPr>
      </w:pPr>
      <w:r w:rsidRPr="008F3E1D">
        <w:rPr>
          <w:rFonts w:ascii="Century Schoolbook" w:hAnsi="Century Schoolbook" w:cs="Times New Roman"/>
          <w:sz w:val="22"/>
          <w:szCs w:val="22"/>
        </w:rPr>
        <w:t xml:space="preserve">In December 2016, the </w:t>
      </w:r>
      <w:r>
        <w:rPr>
          <w:rFonts w:ascii="Century Schoolbook" w:hAnsi="Century Schoolbook" w:cs="Times New Roman"/>
          <w:sz w:val="22"/>
          <w:szCs w:val="22"/>
        </w:rPr>
        <w:t>ABA</w:t>
      </w:r>
      <w:r w:rsidRPr="008F3E1D">
        <w:rPr>
          <w:rFonts w:ascii="Century Schoolbook" w:hAnsi="Century Schoolbook" w:cs="Times New Roman"/>
          <w:sz w:val="22"/>
          <w:szCs w:val="22"/>
        </w:rPr>
        <w:t xml:space="preserve"> reported that</w:t>
      </w:r>
      <w:r>
        <w:rPr>
          <w:rFonts w:ascii="Century Schoolbook" w:hAnsi="Century Schoolbook" w:cs="Times New Roman"/>
          <w:sz w:val="22"/>
          <w:szCs w:val="22"/>
        </w:rPr>
        <w:t>,</w:t>
      </w:r>
      <w:r w:rsidRPr="008F3E1D">
        <w:rPr>
          <w:rFonts w:ascii="Century Schoolbook" w:hAnsi="Century Schoolbook" w:cs="Times New Roman"/>
          <w:sz w:val="22"/>
          <w:szCs w:val="22"/>
        </w:rPr>
        <w:t xml:space="preserve"> for the first time</w:t>
      </w:r>
      <w:r>
        <w:rPr>
          <w:rFonts w:ascii="Century Schoolbook" w:hAnsi="Century Schoolbook" w:cs="Times New Roman"/>
          <w:sz w:val="22"/>
          <w:szCs w:val="22"/>
        </w:rPr>
        <w:t>,</w:t>
      </w:r>
      <w:r w:rsidRPr="008F3E1D">
        <w:rPr>
          <w:rFonts w:ascii="Century Schoolbook" w:hAnsi="Century Schoolbook" w:cs="Times New Roman"/>
          <w:sz w:val="22"/>
          <w:szCs w:val="22"/>
        </w:rPr>
        <w:t xml:space="preserve"> there were more </w:t>
      </w:r>
      <w:r>
        <w:rPr>
          <w:rFonts w:ascii="Century Schoolbook" w:hAnsi="Century Schoolbook" w:cs="Times New Roman"/>
          <w:sz w:val="22"/>
          <w:szCs w:val="22"/>
        </w:rPr>
        <w:t>women</w:t>
      </w:r>
      <w:r w:rsidRPr="008F3E1D">
        <w:rPr>
          <w:rFonts w:ascii="Century Schoolbook" w:hAnsi="Century Schoolbook" w:cs="Times New Roman"/>
          <w:sz w:val="22"/>
          <w:szCs w:val="22"/>
        </w:rPr>
        <w:t xml:space="preserve"> students</w:t>
      </w:r>
      <w:r>
        <w:rPr>
          <w:rFonts w:ascii="Century Schoolbook" w:hAnsi="Century Schoolbook" w:cs="Times New Roman"/>
          <w:sz w:val="22"/>
          <w:szCs w:val="22"/>
        </w:rPr>
        <w:t xml:space="preserve"> than men</w:t>
      </w:r>
      <w:r w:rsidRPr="008F3E1D">
        <w:rPr>
          <w:rFonts w:ascii="Century Schoolbook" w:hAnsi="Century Schoolbook" w:cs="Times New Roman"/>
          <w:sz w:val="22"/>
          <w:szCs w:val="22"/>
        </w:rPr>
        <w:t xml:space="preserve"> in law school.</w:t>
      </w:r>
      <w:bookmarkStart w:id="6" w:name="_Ref510805399"/>
      <w:r w:rsidRPr="008F3E1D">
        <w:rPr>
          <w:rStyle w:val="FootnoteReference"/>
          <w:rFonts w:ascii="Century Schoolbook" w:hAnsi="Century Schoolbook" w:cs="Times New Roman"/>
          <w:sz w:val="22"/>
          <w:szCs w:val="22"/>
        </w:rPr>
        <w:footnoteReference w:id="23"/>
      </w:r>
      <w:bookmarkEnd w:id="6"/>
      <w:r w:rsidRPr="008F3E1D">
        <w:rPr>
          <w:rFonts w:ascii="Century Schoolbook" w:hAnsi="Century Schoolbook" w:cs="Times New Roman"/>
          <w:sz w:val="22"/>
          <w:szCs w:val="22"/>
        </w:rPr>
        <w:t xml:space="preserve">  Yet in courtrooms,</w:t>
      </w:r>
      <w:r>
        <w:rPr>
          <w:rFonts w:ascii="Century Schoolbook" w:hAnsi="Century Schoolbook" w:cs="Times New Roman"/>
          <w:sz w:val="22"/>
          <w:szCs w:val="22"/>
        </w:rPr>
        <w:t xml:space="preserve"> unlike in law schools,</w:t>
      </w:r>
      <w:r w:rsidRPr="008F3E1D">
        <w:rPr>
          <w:rFonts w:ascii="Century Schoolbook" w:hAnsi="Century Schoolbook" w:cs="Times New Roman"/>
          <w:sz w:val="22"/>
          <w:szCs w:val="22"/>
        </w:rPr>
        <w:t xml:space="preserve"> not much has changed.  </w:t>
      </w:r>
      <w:r>
        <w:rPr>
          <w:rFonts w:ascii="Century Schoolbook" w:hAnsi="Century Schoolbook" w:cs="Times New Roman"/>
          <w:sz w:val="22"/>
          <w:szCs w:val="22"/>
        </w:rPr>
        <w:t>Judge</w:t>
      </w:r>
      <w:r w:rsidRPr="008F3E1D">
        <w:rPr>
          <w:rFonts w:ascii="Century Schoolbook" w:hAnsi="Century Schoolbook" w:cs="Times New Roman"/>
          <w:sz w:val="22"/>
          <w:szCs w:val="22"/>
        </w:rPr>
        <w:t xml:space="preserve"> Scheindlin noted that after 22 years on the bench, she still witnessed women as “usually junior and silent” when it came to arguing cases.</w:t>
      </w:r>
      <w:bookmarkStart w:id="7" w:name="_Ref510710530"/>
      <w:r w:rsidRPr="008F3E1D">
        <w:rPr>
          <w:rStyle w:val="FootnoteReference"/>
          <w:rFonts w:ascii="Century Schoolbook" w:hAnsi="Century Schoolbook" w:cs="Times New Roman"/>
          <w:sz w:val="22"/>
          <w:szCs w:val="22"/>
        </w:rPr>
        <w:footnoteReference w:id="24"/>
      </w:r>
      <w:bookmarkEnd w:id="7"/>
      <w:r w:rsidRPr="008F3E1D">
        <w:rPr>
          <w:rFonts w:ascii="Century Schoolbook" w:hAnsi="Century Schoolbook" w:cs="Times New Roman"/>
          <w:sz w:val="22"/>
          <w:szCs w:val="22"/>
        </w:rPr>
        <w:t xml:space="preserve">  Other judges have observed the same thing, as recorded in the New York State Bar Association report </w:t>
      </w:r>
      <w:r w:rsidRPr="003541F9">
        <w:rPr>
          <w:rFonts w:ascii="Century Schoolbook" w:hAnsi="Century Schoolbook" w:cs="Times New Roman"/>
          <w:i/>
          <w:sz w:val="22"/>
          <w:szCs w:val="22"/>
        </w:rPr>
        <w:t>If Not Now, When?</w:t>
      </w:r>
      <w:bookmarkStart w:id="8" w:name="_Ref510624112"/>
      <w:r w:rsidRPr="008F3E1D">
        <w:rPr>
          <w:rStyle w:val="FootnoteReference"/>
          <w:rFonts w:ascii="Century Schoolbook" w:hAnsi="Century Schoolbook" w:cs="Times New Roman"/>
          <w:sz w:val="22"/>
          <w:szCs w:val="22"/>
        </w:rPr>
        <w:footnoteReference w:id="25"/>
      </w:r>
      <w:bookmarkEnd w:id="8"/>
      <w:r w:rsidRPr="008F3E1D">
        <w:rPr>
          <w:rFonts w:ascii="Century Schoolbook" w:hAnsi="Century Schoolbook" w:cs="Times New Roman"/>
          <w:sz w:val="22"/>
          <w:szCs w:val="22"/>
        </w:rPr>
        <w:t xml:space="preserve"> </w:t>
      </w:r>
    </w:p>
    <w:p w:rsidR="00625B3F" w:rsidRPr="008F3E1D" w:rsidRDefault="00625B3F" w:rsidP="00625B3F">
      <w:pPr>
        <w:widowControl w:val="0"/>
        <w:spacing w:line="360" w:lineRule="auto"/>
        <w:ind w:firstLine="720"/>
        <w:rPr>
          <w:rFonts w:ascii="Century Schoolbook" w:hAnsi="Century Schoolbook" w:cs="Times New Roman"/>
          <w:sz w:val="22"/>
          <w:szCs w:val="22"/>
        </w:rPr>
      </w:pPr>
      <w:r w:rsidRPr="008F3E1D">
        <w:rPr>
          <w:rFonts w:ascii="Century Schoolbook" w:hAnsi="Century Schoolbook" w:cs="Times New Roman"/>
          <w:sz w:val="22"/>
          <w:szCs w:val="22"/>
        </w:rPr>
        <w:t>Previously there was a common misconception that the gender gap would work itself out</w:t>
      </w:r>
      <w:r>
        <w:rPr>
          <w:rFonts w:ascii="Century Schoolbook" w:hAnsi="Century Schoolbook" w:cs="Times New Roman"/>
          <w:sz w:val="22"/>
          <w:szCs w:val="22"/>
        </w:rPr>
        <w:t xml:space="preserve"> </w:t>
      </w:r>
      <w:r w:rsidRPr="008F3E1D">
        <w:rPr>
          <w:rFonts w:ascii="Century Schoolbook" w:hAnsi="Century Schoolbook" w:cs="Times New Roman"/>
          <w:sz w:val="22"/>
          <w:szCs w:val="22"/>
        </w:rPr>
        <w:t>—</w:t>
      </w:r>
      <w:r>
        <w:rPr>
          <w:rFonts w:ascii="Century Schoolbook" w:hAnsi="Century Schoolbook" w:cs="Times New Roman"/>
          <w:sz w:val="22"/>
          <w:szCs w:val="22"/>
        </w:rPr>
        <w:t xml:space="preserve"> t</w:t>
      </w:r>
      <w:r w:rsidRPr="008F3E1D">
        <w:rPr>
          <w:rFonts w:ascii="Century Schoolbook" w:hAnsi="Century Schoolbook" w:cs="Times New Roman"/>
          <w:sz w:val="22"/>
          <w:szCs w:val="22"/>
        </w:rPr>
        <w:t>hat as more women entered the profession and rose through the ranks, they would eventually achieve parity with their male counterparts.  To date, unfortunately, this has not happened.</w:t>
      </w:r>
    </w:p>
    <w:p w:rsidR="00625B3F" w:rsidRPr="008F3E1D" w:rsidRDefault="00625B3F" w:rsidP="00625B3F">
      <w:pPr>
        <w:widowControl w:val="0"/>
        <w:spacing w:line="360" w:lineRule="auto"/>
        <w:ind w:firstLine="720"/>
        <w:rPr>
          <w:rFonts w:ascii="Century Schoolbook" w:hAnsi="Century Schoolbook" w:cs="Times New Roman"/>
          <w:sz w:val="22"/>
          <w:szCs w:val="22"/>
        </w:rPr>
      </w:pPr>
      <w:r w:rsidRPr="008F3E1D">
        <w:rPr>
          <w:rFonts w:ascii="Century Schoolbook" w:hAnsi="Century Schoolbook" w:cs="Times New Roman"/>
          <w:sz w:val="22"/>
          <w:szCs w:val="22"/>
        </w:rPr>
        <w:t xml:space="preserve">In the last few years, the gender gap has garnered renewed attention as a problem that will not be solved by simply waiting.  It requires greater education, awareness, and action.  Both law firms and their clients are increasingly focused on the development and retention of female talent.  But </w:t>
      </w:r>
      <w:r>
        <w:rPr>
          <w:rFonts w:ascii="Century Schoolbook" w:hAnsi="Century Schoolbook" w:cs="Times New Roman"/>
          <w:sz w:val="22"/>
          <w:szCs w:val="22"/>
        </w:rPr>
        <w:t>the conversation has expanded beyond</w:t>
      </w:r>
      <w:r w:rsidRPr="008F3E1D">
        <w:rPr>
          <w:rFonts w:ascii="Century Schoolbook" w:hAnsi="Century Schoolbook" w:cs="Times New Roman"/>
          <w:sz w:val="22"/>
          <w:szCs w:val="22"/>
        </w:rPr>
        <w:t xml:space="preserve"> individual firm practices</w:t>
      </w:r>
      <w:r>
        <w:rPr>
          <w:rFonts w:ascii="Century Schoolbook" w:hAnsi="Century Schoolbook" w:cs="Times New Roman"/>
          <w:sz w:val="22"/>
          <w:szCs w:val="22"/>
        </w:rPr>
        <w:t>,</w:t>
      </w:r>
      <w:r w:rsidRPr="008F3E1D">
        <w:rPr>
          <w:rFonts w:ascii="Century Schoolbook" w:hAnsi="Century Schoolbook" w:cs="Times New Roman"/>
          <w:sz w:val="22"/>
          <w:szCs w:val="22"/>
        </w:rPr>
        <w:t xml:space="preserve"> </w:t>
      </w:r>
      <w:r>
        <w:rPr>
          <w:rFonts w:ascii="Century Schoolbook" w:hAnsi="Century Schoolbook" w:cs="Times New Roman"/>
          <w:sz w:val="22"/>
          <w:szCs w:val="22"/>
        </w:rPr>
        <w:t xml:space="preserve">casting light on women’s industry-wide underrepresentation </w:t>
      </w:r>
      <w:r w:rsidRPr="008F3E1D">
        <w:rPr>
          <w:rFonts w:ascii="Century Schoolbook" w:hAnsi="Century Schoolbook" w:cs="Times New Roman"/>
          <w:sz w:val="22"/>
          <w:szCs w:val="22"/>
        </w:rPr>
        <w:t>—</w:t>
      </w:r>
      <w:r>
        <w:rPr>
          <w:rFonts w:ascii="Century Schoolbook" w:hAnsi="Century Schoolbook" w:cs="Times New Roman"/>
          <w:sz w:val="22"/>
          <w:szCs w:val="22"/>
        </w:rPr>
        <w:t xml:space="preserve"> </w:t>
      </w:r>
      <w:r w:rsidRPr="008F3E1D">
        <w:rPr>
          <w:rFonts w:ascii="Century Schoolbook" w:hAnsi="Century Schoolbook" w:cs="Times New Roman"/>
          <w:sz w:val="22"/>
          <w:szCs w:val="22"/>
        </w:rPr>
        <w:t>for example, the absence of women from MDL and class action leadership positions.  A recent study found that men are five times more likely than women to be appointed to a leadership position in a MDL.</w:t>
      </w:r>
      <w:r w:rsidRPr="008F3E1D">
        <w:rPr>
          <w:rStyle w:val="FootnoteReference"/>
          <w:rFonts w:ascii="Century Schoolbook" w:hAnsi="Century Schoolbook" w:cs="Times New Roman"/>
          <w:sz w:val="22"/>
          <w:szCs w:val="22"/>
        </w:rPr>
        <w:footnoteReference w:id="26"/>
      </w:r>
      <w:r w:rsidRPr="008F3E1D">
        <w:rPr>
          <w:rFonts w:ascii="Century Schoolbook" w:hAnsi="Century Schoolbook" w:cs="Times New Roman"/>
          <w:sz w:val="22"/>
          <w:szCs w:val="22"/>
        </w:rPr>
        <w:t xml:space="preserve">    </w:t>
      </w:r>
    </w:p>
    <w:p w:rsidR="00625B3F" w:rsidRPr="008F3E1D" w:rsidRDefault="00625B3F" w:rsidP="00625B3F">
      <w:pPr>
        <w:widowControl w:val="0"/>
        <w:spacing w:line="360" w:lineRule="auto"/>
        <w:ind w:firstLine="720"/>
        <w:rPr>
          <w:rFonts w:ascii="Century Schoolbook" w:hAnsi="Century Schoolbook" w:cs="Times New Roman"/>
          <w:sz w:val="22"/>
          <w:szCs w:val="22"/>
        </w:rPr>
      </w:pPr>
      <w:r w:rsidRPr="008F3E1D">
        <w:rPr>
          <w:rFonts w:ascii="Century Schoolbook" w:hAnsi="Century Schoolbook" w:cs="Times New Roman"/>
          <w:sz w:val="22"/>
          <w:szCs w:val="22"/>
        </w:rPr>
        <w:t xml:space="preserve">This section identifies and describes some, but not all, of the professional barriers that prevent women from rising to more powerful positions in MDL and class action litigation.  These barriers include subtle forms of bias and discrimination as well as systemic roadblocks encountered by women both within their own firms and when vying for opportunities among broader groups of lawyers.  On both fronts, what appears to be a system promoting meritocracy may not </w:t>
      </w:r>
      <w:proofErr w:type="gramStart"/>
      <w:r w:rsidRPr="008F3E1D">
        <w:rPr>
          <w:rFonts w:ascii="Century Schoolbook" w:hAnsi="Century Schoolbook" w:cs="Times New Roman"/>
          <w:sz w:val="22"/>
          <w:szCs w:val="22"/>
        </w:rPr>
        <w:t>be.</w:t>
      </w:r>
      <w:proofErr w:type="gramEnd"/>
      <w:r w:rsidRPr="008F3E1D">
        <w:rPr>
          <w:rFonts w:ascii="Century Schoolbook" w:hAnsi="Century Schoolbook" w:cs="Times New Roman"/>
          <w:sz w:val="22"/>
          <w:szCs w:val="22"/>
        </w:rPr>
        <w:t xml:space="preserve">  Jurists and lawyers alike should </w:t>
      </w:r>
      <w:r>
        <w:rPr>
          <w:rFonts w:ascii="Century Schoolbook" w:hAnsi="Century Schoolbook" w:cs="Times New Roman"/>
          <w:sz w:val="22"/>
          <w:szCs w:val="22"/>
        </w:rPr>
        <w:t xml:space="preserve">identify and ameliorate </w:t>
      </w:r>
      <w:r w:rsidRPr="008F3E1D">
        <w:rPr>
          <w:rFonts w:ascii="Century Schoolbook" w:hAnsi="Century Schoolbook" w:cs="Times New Roman"/>
          <w:sz w:val="22"/>
          <w:szCs w:val="22"/>
        </w:rPr>
        <w:t>these barriers in both the creation and management of MDL and class action leadership teams so that talent can rise.</w:t>
      </w:r>
    </w:p>
    <w:p w:rsidR="00625B3F" w:rsidRDefault="00625B3F" w:rsidP="00625B3F">
      <w:pPr>
        <w:pStyle w:val="ListParagraph"/>
        <w:widowControl w:val="0"/>
        <w:numPr>
          <w:ilvl w:val="0"/>
          <w:numId w:val="6"/>
        </w:numPr>
        <w:spacing w:after="120" w:line="360" w:lineRule="auto"/>
        <w:rPr>
          <w:rFonts w:ascii="Century Schoolbook" w:hAnsi="Century Schoolbook" w:cs="Times New Roman"/>
          <w:b/>
          <w:sz w:val="22"/>
          <w:szCs w:val="22"/>
        </w:rPr>
      </w:pPr>
      <w:r>
        <w:rPr>
          <w:rFonts w:ascii="Century Schoolbook" w:hAnsi="Century Schoolbook" w:cs="Times New Roman"/>
          <w:b/>
          <w:sz w:val="22"/>
          <w:szCs w:val="22"/>
        </w:rPr>
        <w:t>S</w:t>
      </w:r>
      <w:r w:rsidRPr="00CB14DF">
        <w:rPr>
          <w:rFonts w:ascii="Century Schoolbook" w:hAnsi="Century Schoolbook" w:cs="Times New Roman"/>
          <w:b/>
          <w:sz w:val="22"/>
          <w:szCs w:val="22"/>
        </w:rPr>
        <w:t>econd-Generation Discrimination</w:t>
      </w:r>
    </w:p>
    <w:p w:rsidR="00625B3F" w:rsidRPr="008F3E1D" w:rsidRDefault="00625B3F" w:rsidP="00625B3F">
      <w:pPr>
        <w:widowControl w:val="0"/>
        <w:spacing w:line="360" w:lineRule="auto"/>
        <w:ind w:firstLine="720"/>
        <w:rPr>
          <w:rFonts w:ascii="Century Schoolbook" w:hAnsi="Century Schoolbook" w:cs="Times New Roman"/>
          <w:sz w:val="22"/>
          <w:szCs w:val="22"/>
        </w:rPr>
      </w:pPr>
      <w:r>
        <w:rPr>
          <w:rFonts w:ascii="Century Schoolbook" w:hAnsi="Century Schoolbook" w:cs="Times New Roman"/>
          <w:sz w:val="22"/>
          <w:szCs w:val="22"/>
        </w:rPr>
        <w:t>S</w:t>
      </w:r>
      <w:r w:rsidRPr="008F3E1D">
        <w:rPr>
          <w:rFonts w:ascii="Century Schoolbook" w:hAnsi="Century Schoolbook" w:cs="Times New Roman"/>
          <w:sz w:val="22"/>
          <w:szCs w:val="22"/>
        </w:rPr>
        <w:t>econd</w:t>
      </w:r>
      <w:r>
        <w:rPr>
          <w:rFonts w:ascii="Century Schoolbook" w:hAnsi="Century Schoolbook" w:cs="Times New Roman"/>
          <w:sz w:val="22"/>
          <w:szCs w:val="22"/>
        </w:rPr>
        <w:t>-</w:t>
      </w:r>
      <w:r w:rsidRPr="008F3E1D">
        <w:rPr>
          <w:rFonts w:ascii="Century Schoolbook" w:hAnsi="Century Schoolbook" w:cs="Times New Roman"/>
          <w:sz w:val="22"/>
          <w:szCs w:val="22"/>
        </w:rPr>
        <w:t xml:space="preserve">generation gender biases </w:t>
      </w:r>
      <w:r>
        <w:rPr>
          <w:rFonts w:ascii="Century Schoolbook" w:hAnsi="Century Schoolbook" w:cs="Times New Roman"/>
          <w:sz w:val="22"/>
          <w:szCs w:val="22"/>
        </w:rPr>
        <w:t>contribute to</w:t>
      </w:r>
      <w:r w:rsidRPr="008F3E1D">
        <w:rPr>
          <w:rFonts w:ascii="Century Schoolbook" w:hAnsi="Century Schoolbook" w:cs="Times New Roman"/>
          <w:sz w:val="22"/>
          <w:szCs w:val="22"/>
        </w:rPr>
        <w:t xml:space="preserve"> “work cultures and practices that appear neutral and natural on their face” yet reflect masculine values and life situations of men who have been dominant in the development of traditional work settings.</w:t>
      </w:r>
      <w:bookmarkStart w:id="9" w:name="_Ref510707064"/>
      <w:r w:rsidRPr="008F3E1D">
        <w:rPr>
          <w:rStyle w:val="FootnoteReference"/>
          <w:rFonts w:ascii="Century Schoolbook" w:hAnsi="Century Schoolbook" w:cs="Times New Roman"/>
          <w:sz w:val="22"/>
          <w:szCs w:val="22"/>
        </w:rPr>
        <w:footnoteReference w:id="27"/>
      </w:r>
      <w:bookmarkEnd w:id="9"/>
      <w:r w:rsidRPr="008F3E1D">
        <w:rPr>
          <w:rFonts w:ascii="Century Schoolbook" w:hAnsi="Century Schoolbook" w:cs="Times New Roman"/>
          <w:sz w:val="22"/>
          <w:szCs w:val="22"/>
        </w:rPr>
        <w:t xml:space="preserve">  The legal profession may be past the days when quotas or other overtly expressed biases kept a woman from getting her foot in the door, but instead we find leadership opportunities limited or foreclosed by more subtle obstacles.</w:t>
      </w:r>
    </w:p>
    <w:p w:rsidR="00625B3F" w:rsidRPr="008F3E1D" w:rsidRDefault="00625B3F" w:rsidP="00625B3F">
      <w:pPr>
        <w:widowControl w:val="0"/>
        <w:spacing w:line="360" w:lineRule="auto"/>
        <w:ind w:firstLine="720"/>
        <w:rPr>
          <w:rFonts w:ascii="Century Schoolbook" w:hAnsi="Century Schoolbook" w:cs="Times New Roman"/>
          <w:sz w:val="22"/>
          <w:szCs w:val="22"/>
        </w:rPr>
      </w:pPr>
      <w:r w:rsidRPr="008F3E1D">
        <w:rPr>
          <w:rFonts w:ascii="Century Schoolbook" w:hAnsi="Century Schoolbook" w:cs="Times New Roman"/>
          <w:sz w:val="22"/>
          <w:szCs w:val="22"/>
        </w:rPr>
        <w:t>One example of second-generation discrimination is implicit bias, or an unintentional cognitive bias against minorities.</w:t>
      </w:r>
      <w:bookmarkStart w:id="10" w:name="_Ref510805419"/>
      <w:r w:rsidRPr="008F3E1D">
        <w:rPr>
          <w:rFonts w:ascii="Century Schoolbook" w:hAnsi="Century Schoolbook" w:cs="Times New Roman"/>
          <w:sz w:val="22"/>
          <w:szCs w:val="22"/>
          <w:vertAlign w:val="superscript"/>
        </w:rPr>
        <w:footnoteReference w:id="28"/>
      </w:r>
      <w:bookmarkEnd w:id="10"/>
      <w:r w:rsidRPr="008F3E1D">
        <w:rPr>
          <w:rFonts w:ascii="Century Schoolbook" w:hAnsi="Century Schoolbook" w:cs="Times New Roman"/>
          <w:sz w:val="22"/>
          <w:szCs w:val="22"/>
        </w:rPr>
        <w:t xml:space="preserve">  Although not overt or obvious, implicit bias is a fundamental and insidious form of discrimination.</w:t>
      </w:r>
      <w:r w:rsidRPr="008F3E1D">
        <w:rPr>
          <w:rStyle w:val="FootnoteReference"/>
          <w:rFonts w:ascii="Century Schoolbook" w:hAnsi="Century Schoolbook" w:cs="Times New Roman"/>
          <w:sz w:val="22"/>
          <w:szCs w:val="22"/>
        </w:rPr>
        <w:footnoteReference w:id="29"/>
      </w:r>
      <w:r w:rsidRPr="008F3E1D">
        <w:rPr>
          <w:rFonts w:ascii="Century Schoolbook" w:hAnsi="Century Schoolbook" w:cs="Times New Roman"/>
          <w:sz w:val="22"/>
          <w:szCs w:val="22"/>
        </w:rPr>
        <w:t xml:space="preserve">  It stems from the idea of </w:t>
      </w:r>
      <w:proofErr w:type="spellStart"/>
      <w:r w:rsidRPr="008F3E1D">
        <w:rPr>
          <w:rFonts w:ascii="Century Schoolbook" w:hAnsi="Century Schoolbook" w:cs="Times New Roman"/>
          <w:sz w:val="22"/>
          <w:szCs w:val="22"/>
        </w:rPr>
        <w:t>homophily</w:t>
      </w:r>
      <w:proofErr w:type="spellEnd"/>
      <w:r w:rsidRPr="008F3E1D">
        <w:rPr>
          <w:rFonts w:ascii="Century Schoolbook" w:hAnsi="Century Schoolbook" w:cs="Times New Roman"/>
          <w:sz w:val="22"/>
          <w:szCs w:val="22"/>
        </w:rPr>
        <w:t>: that individuals bond most easily with those who are like them.</w:t>
      </w:r>
      <w:r w:rsidRPr="008F3E1D">
        <w:rPr>
          <w:rStyle w:val="FootnoteReference"/>
          <w:rFonts w:ascii="Century Schoolbook" w:hAnsi="Century Schoolbook" w:cs="Times New Roman"/>
          <w:sz w:val="22"/>
          <w:szCs w:val="22"/>
        </w:rPr>
        <w:footnoteReference w:id="30"/>
      </w:r>
      <w:r w:rsidRPr="008F3E1D">
        <w:rPr>
          <w:rFonts w:ascii="Century Schoolbook" w:hAnsi="Century Schoolbook" w:cs="Times New Roman"/>
          <w:sz w:val="22"/>
          <w:szCs w:val="22"/>
        </w:rPr>
        <w:t xml:space="preserve">  </w:t>
      </w:r>
    </w:p>
    <w:p w:rsidR="00625B3F" w:rsidRPr="008F3E1D" w:rsidRDefault="00625B3F" w:rsidP="00625B3F">
      <w:pPr>
        <w:widowControl w:val="0"/>
        <w:spacing w:line="360" w:lineRule="auto"/>
        <w:ind w:firstLine="720"/>
        <w:rPr>
          <w:rFonts w:ascii="Century Schoolbook" w:hAnsi="Century Schoolbook" w:cs="Times New Roman"/>
          <w:sz w:val="22"/>
          <w:szCs w:val="22"/>
        </w:rPr>
      </w:pPr>
      <w:r w:rsidRPr="008F3E1D">
        <w:rPr>
          <w:rFonts w:ascii="Century Schoolbook" w:hAnsi="Century Schoolbook" w:cs="Times New Roman"/>
          <w:sz w:val="22"/>
          <w:szCs w:val="22"/>
        </w:rPr>
        <w:t>Studies of work environments show that people favor coworkers of the same sex, gender, race, and ethnicity by giving those coworkers favorable evaluations, mentoring, loyalty, cooperation, rewards, and opportunities.</w:t>
      </w:r>
      <w:r w:rsidRPr="008F3E1D">
        <w:rPr>
          <w:rFonts w:ascii="Century Schoolbook" w:hAnsi="Century Schoolbook" w:cs="Times New Roman"/>
          <w:sz w:val="22"/>
          <w:szCs w:val="22"/>
          <w:vertAlign w:val="superscript"/>
        </w:rPr>
        <w:footnoteReference w:id="31"/>
      </w:r>
      <w:r w:rsidRPr="008F3E1D">
        <w:rPr>
          <w:rFonts w:ascii="Century Schoolbook" w:hAnsi="Century Schoolbook" w:cs="Times New Roman"/>
          <w:sz w:val="22"/>
          <w:szCs w:val="22"/>
        </w:rPr>
        <w:t xml:space="preserve">  Implicit bias can be exacerbated by the desire of leadership to maximize cooperation and build consensus.  In the MDL context, internal discord may be one of the greatest concerns of a leadership committee tasked with “herding the cats” among their own ranks.  As a result, people may pick team members who they think will get along with each other and not attempt to undermine the ultimate decision</w:t>
      </w:r>
      <w:r>
        <w:rPr>
          <w:rFonts w:ascii="Century Schoolbook" w:hAnsi="Century Schoolbook" w:cs="Times New Roman"/>
          <w:sz w:val="22"/>
          <w:szCs w:val="22"/>
        </w:rPr>
        <w:t xml:space="preserve"> </w:t>
      </w:r>
      <w:r w:rsidRPr="008F3E1D">
        <w:rPr>
          <w:rFonts w:ascii="Century Schoolbook" w:hAnsi="Century Schoolbook" w:cs="Times New Roman"/>
          <w:sz w:val="22"/>
          <w:szCs w:val="22"/>
        </w:rPr>
        <w:t>making authority of the most senior leaders.  Their instinct about who those people are will often lead them to pick candidates who look, sound</w:t>
      </w:r>
      <w:r>
        <w:rPr>
          <w:rFonts w:ascii="Century Schoolbook" w:hAnsi="Century Schoolbook" w:cs="Times New Roman"/>
          <w:sz w:val="22"/>
          <w:szCs w:val="22"/>
        </w:rPr>
        <w:t>,</w:t>
      </w:r>
      <w:r w:rsidRPr="008F3E1D">
        <w:rPr>
          <w:rFonts w:ascii="Century Schoolbook" w:hAnsi="Century Schoolbook" w:cs="Times New Roman"/>
          <w:sz w:val="22"/>
          <w:szCs w:val="22"/>
        </w:rPr>
        <w:t xml:space="preserve"> and act like them.  Consciously or not, embedded assumptions that diverse teams are more prone to conflict and less prone to consensus may unfairly hurt women in the MDL selection process.</w:t>
      </w:r>
      <w:r w:rsidRPr="008F3E1D">
        <w:rPr>
          <w:rStyle w:val="FootnoteReference"/>
          <w:rFonts w:ascii="Century Schoolbook" w:hAnsi="Century Schoolbook" w:cs="Times New Roman"/>
          <w:sz w:val="22"/>
          <w:szCs w:val="22"/>
        </w:rPr>
        <w:footnoteReference w:id="32"/>
      </w:r>
    </w:p>
    <w:p w:rsidR="00625B3F" w:rsidRPr="008F3E1D" w:rsidRDefault="00625B3F" w:rsidP="00625B3F">
      <w:pPr>
        <w:widowControl w:val="0"/>
        <w:spacing w:line="360" w:lineRule="auto"/>
        <w:ind w:firstLine="720"/>
        <w:rPr>
          <w:rFonts w:ascii="Century Schoolbook" w:hAnsi="Century Schoolbook" w:cs="Times New Roman"/>
          <w:sz w:val="22"/>
          <w:szCs w:val="22"/>
        </w:rPr>
      </w:pPr>
      <w:r>
        <w:rPr>
          <w:rFonts w:ascii="Century Schoolbook" w:hAnsi="Century Schoolbook" w:cs="Times New Roman"/>
          <w:sz w:val="22"/>
          <w:szCs w:val="22"/>
        </w:rPr>
        <w:t>Confirmation bias, a</w:t>
      </w:r>
      <w:r w:rsidRPr="008F3E1D">
        <w:rPr>
          <w:rFonts w:ascii="Century Schoolbook" w:hAnsi="Century Schoolbook" w:cs="Times New Roman"/>
          <w:sz w:val="22"/>
          <w:szCs w:val="22"/>
        </w:rPr>
        <w:t xml:space="preserve"> concept related to implicit bias</w:t>
      </w:r>
      <w:r>
        <w:rPr>
          <w:rFonts w:ascii="Century Schoolbook" w:hAnsi="Century Schoolbook" w:cs="Times New Roman"/>
          <w:sz w:val="22"/>
          <w:szCs w:val="22"/>
        </w:rPr>
        <w:t>,</w:t>
      </w:r>
      <w:r w:rsidRPr="008F3E1D">
        <w:rPr>
          <w:rFonts w:ascii="Century Schoolbook" w:hAnsi="Century Schoolbook" w:cs="Times New Roman"/>
          <w:sz w:val="22"/>
          <w:szCs w:val="22"/>
        </w:rPr>
        <w:t xml:space="preserve"> may also affect how younger candidates are assessed when </w:t>
      </w:r>
      <w:r>
        <w:rPr>
          <w:rFonts w:ascii="Century Schoolbook" w:hAnsi="Century Schoolbook" w:cs="Times New Roman"/>
          <w:sz w:val="22"/>
          <w:szCs w:val="22"/>
        </w:rPr>
        <w:t>their colleagues</w:t>
      </w:r>
      <w:r w:rsidRPr="008F3E1D">
        <w:rPr>
          <w:rFonts w:ascii="Century Schoolbook" w:hAnsi="Century Schoolbook" w:cs="Times New Roman"/>
          <w:sz w:val="22"/>
          <w:szCs w:val="22"/>
        </w:rPr>
        <w:t xml:space="preserve"> consider their readiness for leadership.  Partners and clients are more likely to recall information that confirms their biases about the younger lawyers on their teams and include that information in evaluations.</w:t>
      </w:r>
      <w:r w:rsidRPr="008F3E1D">
        <w:rPr>
          <w:rStyle w:val="FootnoteReference"/>
          <w:rFonts w:ascii="Century Schoolbook" w:hAnsi="Century Schoolbook" w:cs="Times New Roman"/>
          <w:sz w:val="22"/>
          <w:szCs w:val="22"/>
        </w:rPr>
        <w:footnoteReference w:id="33"/>
      </w:r>
      <w:r w:rsidRPr="008F3E1D">
        <w:rPr>
          <w:rFonts w:ascii="Century Schoolbook" w:hAnsi="Century Schoolbook" w:cs="Times New Roman"/>
          <w:sz w:val="22"/>
          <w:szCs w:val="22"/>
        </w:rPr>
        <w:t xml:space="preserve">  For example, attorneys who assume that working mothers are less committed to their careers tend to remember the times the mothers left early, not the nights they stayed late.</w:t>
      </w:r>
      <w:r w:rsidRPr="008F3E1D">
        <w:rPr>
          <w:rStyle w:val="FootnoteReference"/>
          <w:rFonts w:ascii="Century Schoolbook" w:hAnsi="Century Schoolbook" w:cs="Times New Roman"/>
          <w:sz w:val="22"/>
          <w:szCs w:val="22"/>
        </w:rPr>
        <w:footnoteReference w:id="34"/>
      </w:r>
    </w:p>
    <w:p w:rsidR="00625B3F" w:rsidRPr="008F3E1D" w:rsidRDefault="00625B3F" w:rsidP="00625B3F">
      <w:pPr>
        <w:widowControl w:val="0"/>
        <w:spacing w:line="360" w:lineRule="auto"/>
        <w:ind w:firstLine="720"/>
        <w:rPr>
          <w:rFonts w:ascii="Century Schoolbook" w:hAnsi="Century Schoolbook" w:cs="Times New Roman"/>
          <w:sz w:val="22"/>
          <w:szCs w:val="22"/>
        </w:rPr>
      </w:pPr>
      <w:r w:rsidRPr="008F3E1D">
        <w:rPr>
          <w:rFonts w:ascii="Century Schoolbook" w:hAnsi="Century Schoolbook" w:cs="Times New Roman"/>
          <w:sz w:val="22"/>
          <w:szCs w:val="22"/>
        </w:rPr>
        <w:t xml:space="preserve">Even when women are given positive evaluations, those evaluations are often unwittingly shaded by gender stereotypes.  For example, the female employee </w:t>
      </w:r>
      <w:r>
        <w:rPr>
          <w:rFonts w:ascii="Century Schoolbook" w:hAnsi="Century Schoolbook" w:cs="Times New Roman"/>
          <w:sz w:val="22"/>
          <w:szCs w:val="22"/>
        </w:rPr>
        <w:t xml:space="preserve">may be </w:t>
      </w:r>
      <w:r w:rsidRPr="008F3E1D">
        <w:rPr>
          <w:rFonts w:ascii="Century Schoolbook" w:hAnsi="Century Schoolbook" w:cs="Times New Roman"/>
          <w:sz w:val="22"/>
          <w:szCs w:val="22"/>
        </w:rPr>
        <w:t>praised as supportive and encouraging (characteristics that conform to a set of perceived female strengths) rather than as a tough negotiator.</w:t>
      </w:r>
      <w:r w:rsidRPr="008F3E1D">
        <w:rPr>
          <w:rStyle w:val="FootnoteReference"/>
          <w:rFonts w:ascii="Century Schoolbook" w:hAnsi="Century Schoolbook" w:cs="Times New Roman"/>
          <w:sz w:val="22"/>
          <w:szCs w:val="22"/>
        </w:rPr>
        <w:footnoteReference w:id="35"/>
      </w:r>
      <w:r w:rsidRPr="008F3E1D">
        <w:rPr>
          <w:rFonts w:ascii="Century Schoolbook" w:hAnsi="Century Schoolbook" w:cs="Times New Roman"/>
          <w:sz w:val="22"/>
          <w:szCs w:val="22"/>
        </w:rPr>
        <w:t xml:space="preserve">  Needless to say, if what is remembered and praised about young lawyers does not align with the most valued leadership skills, women are going to be set up for failure in the selection process from the start.</w:t>
      </w:r>
    </w:p>
    <w:p w:rsidR="00625B3F" w:rsidRPr="008F3E1D" w:rsidRDefault="00625B3F" w:rsidP="00625B3F">
      <w:pPr>
        <w:widowControl w:val="0"/>
        <w:spacing w:line="360" w:lineRule="auto"/>
        <w:ind w:firstLine="720"/>
        <w:rPr>
          <w:rFonts w:ascii="Century Schoolbook" w:hAnsi="Century Schoolbook" w:cs="Times New Roman"/>
          <w:sz w:val="22"/>
          <w:szCs w:val="22"/>
        </w:rPr>
      </w:pPr>
      <w:r w:rsidRPr="008F3E1D">
        <w:rPr>
          <w:rFonts w:ascii="Century Schoolbook" w:hAnsi="Century Schoolbook" w:cs="Times New Roman"/>
          <w:sz w:val="22"/>
          <w:szCs w:val="22"/>
        </w:rPr>
        <w:t>Conversely, studies show that for both men and women, speaking or acting in ways that violate socially acceptable gender norms and highlight attributes (including strengths) that are viewed as not typical of their gender tends to lead to a loss of status in a professional dynamic.</w:t>
      </w:r>
      <w:r w:rsidRPr="008F3E1D">
        <w:rPr>
          <w:rStyle w:val="FootnoteReference"/>
          <w:rFonts w:ascii="Century Schoolbook" w:hAnsi="Century Schoolbook" w:cs="Times New Roman"/>
          <w:sz w:val="22"/>
          <w:szCs w:val="22"/>
        </w:rPr>
        <w:footnoteReference w:id="36"/>
      </w:r>
      <w:r w:rsidRPr="008F3E1D">
        <w:rPr>
          <w:rFonts w:ascii="Century Schoolbook" w:hAnsi="Century Schoolbook" w:cs="Times New Roman"/>
          <w:sz w:val="22"/>
          <w:szCs w:val="22"/>
        </w:rPr>
        <w:t xml:space="preserve">  This means that valued behavior by a white man may be criticized in someone else.  It also means that women and other diverse candidates who do make it onto leadership groups are still marginalized by being put into lesser roles, which fit social and cultural conventions of what they do and do</w:t>
      </w:r>
      <w:r>
        <w:rPr>
          <w:rFonts w:ascii="Century Schoolbook" w:hAnsi="Century Schoolbook" w:cs="Times New Roman"/>
          <w:sz w:val="22"/>
          <w:szCs w:val="22"/>
        </w:rPr>
        <w:t xml:space="preserve"> </w:t>
      </w:r>
      <w:r w:rsidRPr="008F3E1D">
        <w:rPr>
          <w:rFonts w:ascii="Century Schoolbook" w:hAnsi="Century Schoolbook" w:cs="Times New Roman"/>
          <w:sz w:val="22"/>
          <w:szCs w:val="22"/>
        </w:rPr>
        <w:t>n</w:t>
      </w:r>
      <w:r>
        <w:rPr>
          <w:rFonts w:ascii="Century Schoolbook" w:hAnsi="Century Schoolbook" w:cs="Times New Roman"/>
          <w:sz w:val="22"/>
          <w:szCs w:val="22"/>
        </w:rPr>
        <w:t>o</w:t>
      </w:r>
      <w:r w:rsidRPr="008F3E1D">
        <w:rPr>
          <w:rFonts w:ascii="Century Schoolbook" w:hAnsi="Century Schoolbook" w:cs="Times New Roman"/>
          <w:sz w:val="22"/>
          <w:szCs w:val="22"/>
        </w:rPr>
        <w:t>t do best.</w:t>
      </w:r>
    </w:p>
    <w:p w:rsidR="00625B3F" w:rsidRPr="00993E2B" w:rsidRDefault="00625B3F" w:rsidP="00625B3F">
      <w:pPr>
        <w:pStyle w:val="ListParagraph"/>
        <w:widowControl w:val="0"/>
        <w:numPr>
          <w:ilvl w:val="0"/>
          <w:numId w:val="6"/>
        </w:numPr>
        <w:spacing w:after="120" w:line="360" w:lineRule="auto"/>
        <w:rPr>
          <w:rFonts w:ascii="Century Schoolbook" w:hAnsi="Century Schoolbook" w:cs="Times New Roman"/>
          <w:b/>
          <w:sz w:val="22"/>
          <w:szCs w:val="22"/>
        </w:rPr>
      </w:pPr>
      <w:r w:rsidRPr="00993E2B">
        <w:rPr>
          <w:rFonts w:ascii="Century Schoolbook" w:hAnsi="Century Schoolbook" w:cs="Times New Roman"/>
          <w:b/>
          <w:sz w:val="22"/>
          <w:szCs w:val="22"/>
        </w:rPr>
        <w:t xml:space="preserve">Legal Industry’s Fallacy of Meritocratic Evaluations </w:t>
      </w:r>
    </w:p>
    <w:p w:rsidR="00625B3F" w:rsidRPr="008F3E1D" w:rsidRDefault="00625B3F" w:rsidP="00625B3F">
      <w:pPr>
        <w:widowControl w:val="0"/>
        <w:spacing w:line="360" w:lineRule="auto"/>
        <w:ind w:firstLine="720"/>
        <w:rPr>
          <w:rFonts w:ascii="Century Schoolbook" w:hAnsi="Century Schoolbook" w:cs="Times New Roman"/>
          <w:sz w:val="22"/>
          <w:szCs w:val="22"/>
        </w:rPr>
      </w:pPr>
      <w:r w:rsidRPr="008F3E1D">
        <w:rPr>
          <w:rFonts w:ascii="Century Schoolbook" w:hAnsi="Century Schoolbook" w:cs="Times New Roman"/>
          <w:sz w:val="22"/>
          <w:szCs w:val="22"/>
        </w:rPr>
        <w:t>Meritocratic performance evaluations are inherently subjective.  The “meritocratic” aspects of these reviews are therefore often a fallacy as applied to women attorneys experiencing second-generation discrimination.  Research has found that men’s performance reviews were twice as likely as women’s to contain references to their technical expertise and “vision.”</w:t>
      </w:r>
      <w:r w:rsidRPr="008F3E1D">
        <w:rPr>
          <w:rStyle w:val="FootnoteReference"/>
          <w:rFonts w:ascii="Century Schoolbook" w:hAnsi="Century Schoolbook" w:cs="Times New Roman"/>
          <w:sz w:val="22"/>
          <w:szCs w:val="22"/>
        </w:rPr>
        <w:footnoteReference w:id="37"/>
      </w:r>
      <w:r w:rsidRPr="008F3E1D">
        <w:rPr>
          <w:rFonts w:ascii="Century Schoolbook" w:hAnsi="Century Schoolbook" w:cs="Times New Roman"/>
          <w:sz w:val="22"/>
          <w:szCs w:val="22"/>
        </w:rPr>
        <w:t xml:space="preserve">  Moreover, in a sample of 248 performance reviews from 28 </w:t>
      </w:r>
      <w:proofErr w:type="spellStart"/>
      <w:r w:rsidRPr="008F3E1D">
        <w:rPr>
          <w:rFonts w:ascii="Century Schoolbook" w:hAnsi="Century Schoolbook" w:cs="Times New Roman"/>
          <w:sz w:val="22"/>
          <w:szCs w:val="22"/>
        </w:rPr>
        <w:t>nonlegal</w:t>
      </w:r>
      <w:proofErr w:type="spellEnd"/>
      <w:r w:rsidRPr="008F3E1D">
        <w:rPr>
          <w:rFonts w:ascii="Century Schoolbook" w:hAnsi="Century Schoolbook" w:cs="Times New Roman"/>
          <w:sz w:val="22"/>
          <w:szCs w:val="22"/>
        </w:rPr>
        <w:t xml:space="preserve"> companies, the reviews given to women were far likelier than reviews given to men to contain critical feedback; 71% of women’s reviews contained negative feedback, compared to 2% of men’s reviews.</w:t>
      </w:r>
      <w:r w:rsidRPr="008F3E1D">
        <w:rPr>
          <w:rStyle w:val="FootnoteReference"/>
          <w:rFonts w:ascii="Century Schoolbook" w:hAnsi="Century Schoolbook" w:cs="Times New Roman"/>
          <w:sz w:val="22"/>
          <w:szCs w:val="22"/>
        </w:rPr>
        <w:footnoteReference w:id="38"/>
      </w:r>
      <w:r w:rsidRPr="008F3E1D">
        <w:rPr>
          <w:rFonts w:ascii="Century Schoolbook" w:hAnsi="Century Schoolbook" w:cs="Times New Roman"/>
          <w:sz w:val="22"/>
          <w:szCs w:val="22"/>
        </w:rPr>
        <w:t xml:space="preserve">  This effect is particularly pronounced when an employee’s leadership is evaluated.  Although good leaders are expected to be strong, confident, and assertive, women exhibiting these qualities are often seen negatively, perhaps as uncaring, self-promoting, and aggressive.</w:t>
      </w:r>
      <w:bookmarkStart w:id="11" w:name="_Ref510805703"/>
      <w:r w:rsidRPr="008F3E1D">
        <w:rPr>
          <w:rStyle w:val="FootnoteReference"/>
          <w:rFonts w:ascii="Century Schoolbook" w:hAnsi="Century Schoolbook" w:cs="Times New Roman"/>
          <w:sz w:val="22"/>
          <w:szCs w:val="22"/>
        </w:rPr>
        <w:footnoteReference w:id="39"/>
      </w:r>
      <w:bookmarkEnd w:id="11"/>
      <w:r w:rsidRPr="008F3E1D">
        <w:rPr>
          <w:rFonts w:ascii="Century Schoolbook" w:hAnsi="Century Schoolbook" w:cs="Times New Roman"/>
          <w:sz w:val="22"/>
          <w:szCs w:val="22"/>
        </w:rPr>
        <w:t xml:space="preserve">  </w:t>
      </w:r>
    </w:p>
    <w:p w:rsidR="00625B3F" w:rsidRPr="008F3E1D" w:rsidRDefault="00625B3F" w:rsidP="00625B3F">
      <w:pPr>
        <w:widowControl w:val="0"/>
        <w:spacing w:line="360" w:lineRule="auto"/>
        <w:ind w:firstLine="720"/>
        <w:rPr>
          <w:rFonts w:ascii="Century Schoolbook" w:hAnsi="Century Schoolbook" w:cs="Times New Roman"/>
          <w:sz w:val="22"/>
          <w:szCs w:val="22"/>
        </w:rPr>
      </w:pPr>
      <w:r w:rsidRPr="008F3E1D">
        <w:rPr>
          <w:rFonts w:ascii="Century Schoolbook" w:hAnsi="Century Schoolbook" w:cs="Times New Roman"/>
          <w:sz w:val="22"/>
          <w:szCs w:val="22"/>
        </w:rPr>
        <w:t>In the legal industry, which men have historically dominated, implicit bias undermines meritocratic performance evaluations.  A male evaluator</w:t>
      </w:r>
      <w:r>
        <w:rPr>
          <w:rFonts w:ascii="Century Schoolbook" w:hAnsi="Century Schoolbook" w:cs="Times New Roman"/>
          <w:sz w:val="22"/>
          <w:szCs w:val="22"/>
        </w:rPr>
        <w:t xml:space="preserve"> </w:t>
      </w:r>
      <w:r w:rsidRPr="008F3E1D">
        <w:rPr>
          <w:rFonts w:ascii="Century Schoolbook" w:hAnsi="Century Schoolbook" w:cs="Times New Roman"/>
          <w:sz w:val="22"/>
          <w:szCs w:val="22"/>
        </w:rPr>
        <w:t>—</w:t>
      </w:r>
      <w:r>
        <w:rPr>
          <w:rFonts w:ascii="Century Schoolbook" w:hAnsi="Century Schoolbook" w:cs="Times New Roman"/>
          <w:sz w:val="22"/>
          <w:szCs w:val="22"/>
        </w:rPr>
        <w:t xml:space="preserve"> </w:t>
      </w:r>
      <w:r w:rsidRPr="008F3E1D">
        <w:rPr>
          <w:rFonts w:ascii="Century Schoolbook" w:hAnsi="Century Schoolbook" w:cs="Times New Roman"/>
          <w:sz w:val="22"/>
          <w:szCs w:val="22"/>
        </w:rPr>
        <w:t xml:space="preserve">probable in an industry where the </w:t>
      </w:r>
      <w:r>
        <w:rPr>
          <w:rFonts w:ascii="Century Schoolbook" w:hAnsi="Century Schoolbook" w:cs="Times New Roman"/>
          <w:sz w:val="22"/>
          <w:szCs w:val="22"/>
        </w:rPr>
        <w:t xml:space="preserve">vast </w:t>
      </w:r>
      <w:r w:rsidRPr="008F3E1D">
        <w:rPr>
          <w:rFonts w:ascii="Century Schoolbook" w:hAnsi="Century Schoolbook" w:cs="Times New Roman"/>
          <w:sz w:val="22"/>
          <w:szCs w:val="22"/>
        </w:rPr>
        <w:t xml:space="preserve">majority of senior attorneys are </w:t>
      </w:r>
      <w:r>
        <w:rPr>
          <w:rFonts w:ascii="Century Schoolbook" w:hAnsi="Century Schoolbook" w:cs="Times New Roman"/>
          <w:sz w:val="22"/>
          <w:szCs w:val="22"/>
        </w:rPr>
        <w:t>men</w:t>
      </w:r>
      <w:r w:rsidRPr="008F3E1D">
        <w:rPr>
          <w:rStyle w:val="FootnoteReference"/>
          <w:rFonts w:ascii="Century Schoolbook" w:hAnsi="Century Schoolbook" w:cs="Times New Roman"/>
          <w:sz w:val="22"/>
          <w:szCs w:val="22"/>
        </w:rPr>
        <w:footnoteReference w:id="40"/>
      </w:r>
      <w:r>
        <w:rPr>
          <w:rFonts w:ascii="Century Schoolbook" w:hAnsi="Century Schoolbook" w:cs="Times New Roman"/>
          <w:sz w:val="22"/>
          <w:szCs w:val="22"/>
        </w:rPr>
        <w:t xml:space="preserve"> </w:t>
      </w:r>
      <w:r w:rsidRPr="008F3E1D">
        <w:rPr>
          <w:rFonts w:ascii="Century Schoolbook" w:hAnsi="Century Schoolbook" w:cs="Times New Roman"/>
          <w:sz w:val="22"/>
          <w:szCs w:val="22"/>
        </w:rPr>
        <w:t>—</w:t>
      </w:r>
      <w:r>
        <w:rPr>
          <w:rFonts w:ascii="Century Schoolbook" w:hAnsi="Century Schoolbook" w:cs="Times New Roman"/>
          <w:sz w:val="22"/>
          <w:szCs w:val="22"/>
        </w:rPr>
        <w:t xml:space="preserve"> may be</w:t>
      </w:r>
      <w:r w:rsidRPr="008F3E1D">
        <w:rPr>
          <w:rFonts w:ascii="Century Schoolbook" w:hAnsi="Century Schoolbook" w:cs="Times New Roman"/>
          <w:sz w:val="22"/>
          <w:szCs w:val="22"/>
        </w:rPr>
        <w:t xml:space="preserve"> prone to assume that the employee being reviewed is more capable, successful, and worthy of a positive evaluation if the employee is another man.  The evaluator is unaware that he is favoring male employees over female employees</w:t>
      </w:r>
      <w:r>
        <w:rPr>
          <w:rFonts w:ascii="Century Schoolbook" w:hAnsi="Century Schoolbook" w:cs="Times New Roman"/>
          <w:sz w:val="22"/>
          <w:szCs w:val="22"/>
        </w:rPr>
        <w:t>,</w:t>
      </w:r>
      <w:r w:rsidRPr="008F3E1D">
        <w:rPr>
          <w:rFonts w:ascii="Century Schoolbook" w:hAnsi="Century Schoolbook" w:cs="Times New Roman"/>
          <w:sz w:val="22"/>
          <w:szCs w:val="22"/>
        </w:rPr>
        <w:t xml:space="preserve"> and the discrimination is unintentional</w:t>
      </w:r>
      <w:r>
        <w:rPr>
          <w:rFonts w:ascii="Century Schoolbook" w:hAnsi="Century Schoolbook" w:cs="Times New Roman"/>
          <w:sz w:val="22"/>
          <w:szCs w:val="22"/>
        </w:rPr>
        <w:t>;</w:t>
      </w:r>
      <w:r w:rsidRPr="008F3E1D">
        <w:rPr>
          <w:rFonts w:ascii="Century Schoolbook" w:hAnsi="Century Schoolbook" w:cs="Times New Roman"/>
          <w:sz w:val="22"/>
          <w:szCs w:val="22"/>
        </w:rPr>
        <w:t xml:space="preserve"> but</w:t>
      </w:r>
      <w:r>
        <w:rPr>
          <w:rFonts w:ascii="Century Schoolbook" w:hAnsi="Century Schoolbook" w:cs="Times New Roman"/>
          <w:sz w:val="22"/>
          <w:szCs w:val="22"/>
        </w:rPr>
        <w:t>, in aggregate,</w:t>
      </w:r>
      <w:r w:rsidRPr="008F3E1D">
        <w:rPr>
          <w:rFonts w:ascii="Century Schoolbook" w:hAnsi="Century Schoolbook" w:cs="Times New Roman"/>
          <w:sz w:val="22"/>
          <w:szCs w:val="22"/>
        </w:rPr>
        <w:t xml:space="preserve"> this implicit bias results </w:t>
      </w:r>
      <w:r>
        <w:rPr>
          <w:rFonts w:ascii="Century Schoolbook" w:hAnsi="Century Schoolbook" w:cs="Times New Roman"/>
          <w:sz w:val="22"/>
          <w:szCs w:val="22"/>
        </w:rPr>
        <w:t>in more favorable evaluations for men than for women</w:t>
      </w:r>
      <w:r w:rsidRPr="008F3E1D">
        <w:rPr>
          <w:rFonts w:ascii="Century Schoolbook" w:hAnsi="Century Schoolbook" w:cs="Times New Roman"/>
          <w:sz w:val="22"/>
          <w:szCs w:val="22"/>
        </w:rPr>
        <w:t xml:space="preserve">, thereby reinforcing the bias.  </w:t>
      </w:r>
    </w:p>
    <w:p w:rsidR="00625B3F" w:rsidRPr="008F3E1D" w:rsidRDefault="00625B3F" w:rsidP="00625B3F">
      <w:pPr>
        <w:widowControl w:val="0"/>
        <w:spacing w:line="360" w:lineRule="auto"/>
        <w:ind w:firstLine="720"/>
        <w:rPr>
          <w:rFonts w:ascii="Century Schoolbook" w:hAnsi="Century Schoolbook" w:cs="Times New Roman"/>
          <w:sz w:val="22"/>
          <w:szCs w:val="22"/>
        </w:rPr>
      </w:pPr>
      <w:r w:rsidRPr="008F3E1D">
        <w:rPr>
          <w:rFonts w:ascii="Century Schoolbook" w:hAnsi="Century Schoolbook" w:cs="Times New Roman"/>
          <w:sz w:val="22"/>
          <w:szCs w:val="22"/>
        </w:rPr>
        <w:t>As a result, one researcher has found that gender-based implicit bias results in women failing to receive the presumption of competence that is given to white men.</w:t>
      </w:r>
      <w:r w:rsidRPr="008F3E1D">
        <w:rPr>
          <w:rStyle w:val="FootnoteReference"/>
          <w:rFonts w:ascii="Century Schoolbook" w:hAnsi="Century Schoolbook" w:cs="Times New Roman"/>
          <w:sz w:val="22"/>
          <w:szCs w:val="22"/>
        </w:rPr>
        <w:footnoteReference w:id="41"/>
      </w:r>
      <w:r w:rsidRPr="008F3E1D">
        <w:rPr>
          <w:rFonts w:ascii="Century Schoolbook" w:hAnsi="Century Schoolbook" w:cs="Times New Roman"/>
          <w:sz w:val="22"/>
          <w:szCs w:val="22"/>
        </w:rPr>
        <w:t xml:space="preserve">  Moreover, many studies indicate that women are held to a higher performance standard than their colleagues and are given lower evaluations for similar work.</w:t>
      </w:r>
      <w:r w:rsidRPr="008F3E1D">
        <w:rPr>
          <w:rStyle w:val="FootnoteReference"/>
          <w:rFonts w:ascii="Century Schoolbook" w:hAnsi="Century Schoolbook" w:cs="Times New Roman"/>
          <w:sz w:val="22"/>
          <w:szCs w:val="22"/>
        </w:rPr>
        <w:footnoteReference w:id="42"/>
      </w:r>
      <w:r w:rsidRPr="008F3E1D">
        <w:rPr>
          <w:rFonts w:ascii="Century Schoolbook" w:hAnsi="Century Schoolbook" w:cs="Times New Roman"/>
          <w:sz w:val="22"/>
          <w:szCs w:val="22"/>
        </w:rPr>
        <w:t xml:space="preserve">  Even a signal of gender may impair judgment: in 1996, the </w:t>
      </w:r>
      <w:r w:rsidRPr="003541F9">
        <w:rPr>
          <w:rFonts w:ascii="Century Schoolbook" w:hAnsi="Century Schoolbook" w:cs="Times New Roman"/>
          <w:i/>
          <w:sz w:val="22"/>
          <w:szCs w:val="22"/>
        </w:rPr>
        <w:t>Virginia Law Review</w:t>
      </w:r>
      <w:r w:rsidRPr="008F3E1D">
        <w:rPr>
          <w:rFonts w:ascii="Century Schoolbook" w:hAnsi="Century Schoolbook" w:cs="Times New Roman"/>
          <w:sz w:val="22"/>
          <w:szCs w:val="22"/>
        </w:rPr>
        <w:t xml:space="preserve"> changed the requirements for its applications from handwritten papers to typewritten.  Until that year, </w:t>
      </w:r>
      <w:r>
        <w:rPr>
          <w:rFonts w:ascii="Century Schoolbook" w:hAnsi="Century Schoolbook" w:cs="Times New Roman"/>
          <w:sz w:val="22"/>
          <w:szCs w:val="22"/>
        </w:rPr>
        <w:t xml:space="preserve">women had consistently comprised about 30% of the </w:t>
      </w:r>
      <w:r>
        <w:rPr>
          <w:rFonts w:ascii="Century Schoolbook" w:hAnsi="Century Schoolbook" w:cs="Times New Roman"/>
          <w:i/>
          <w:sz w:val="22"/>
          <w:szCs w:val="22"/>
        </w:rPr>
        <w:t>Law Review</w:t>
      </w:r>
      <w:r>
        <w:rPr>
          <w:rFonts w:ascii="Century Schoolbook" w:hAnsi="Century Schoolbook" w:cs="Times New Roman"/>
          <w:sz w:val="22"/>
          <w:szCs w:val="22"/>
        </w:rPr>
        <w:t>’s membership.</w:t>
      </w:r>
      <w:r>
        <w:rPr>
          <w:rFonts w:ascii="Century Schoolbook" w:hAnsi="Century Schoolbook" w:cs="Times New Roman"/>
          <w:i/>
          <w:sz w:val="22"/>
          <w:szCs w:val="22"/>
        </w:rPr>
        <w:t xml:space="preserve"> </w:t>
      </w:r>
      <w:r w:rsidRPr="00A24C72">
        <w:rPr>
          <w:rFonts w:ascii="Century Schoolbook" w:hAnsi="Century Schoolbook" w:cs="Times New Roman"/>
          <w:sz w:val="22"/>
          <w:szCs w:val="22"/>
        </w:rPr>
        <w:t>The</w:t>
      </w:r>
      <w:r w:rsidRPr="008F3E1D">
        <w:rPr>
          <w:rFonts w:ascii="Century Schoolbook" w:hAnsi="Century Schoolbook" w:cs="Times New Roman"/>
          <w:sz w:val="22"/>
          <w:szCs w:val="22"/>
        </w:rPr>
        <w:t xml:space="preserve"> year handwritten submissions were abolished, </w:t>
      </w:r>
      <w:r>
        <w:rPr>
          <w:rFonts w:ascii="Century Schoolbook" w:hAnsi="Century Schoolbook" w:cs="Times New Roman"/>
          <w:sz w:val="22"/>
          <w:szCs w:val="22"/>
        </w:rPr>
        <w:t xml:space="preserve">women </w:t>
      </w:r>
      <w:r w:rsidRPr="008F3E1D">
        <w:rPr>
          <w:rFonts w:ascii="Century Schoolbook" w:hAnsi="Century Schoolbook" w:cs="Times New Roman"/>
          <w:sz w:val="22"/>
          <w:szCs w:val="22"/>
        </w:rPr>
        <w:t>membership jumped to 50%</w:t>
      </w:r>
      <w:r>
        <w:rPr>
          <w:rFonts w:ascii="Century Schoolbook" w:hAnsi="Century Schoolbook" w:cs="Times New Roman"/>
          <w:sz w:val="22"/>
          <w:szCs w:val="22"/>
        </w:rPr>
        <w:t xml:space="preserve"> </w:t>
      </w:r>
      <w:r w:rsidRPr="008F3E1D">
        <w:rPr>
          <w:rFonts w:ascii="Century Schoolbook" w:hAnsi="Century Schoolbook" w:cs="Times New Roman"/>
          <w:sz w:val="22"/>
          <w:szCs w:val="22"/>
        </w:rPr>
        <w:t>—</w:t>
      </w:r>
      <w:r>
        <w:rPr>
          <w:rFonts w:ascii="Century Schoolbook" w:hAnsi="Century Schoolbook" w:cs="Times New Roman"/>
          <w:sz w:val="22"/>
          <w:szCs w:val="22"/>
        </w:rPr>
        <w:t xml:space="preserve"> </w:t>
      </w:r>
      <w:r w:rsidRPr="008F3E1D">
        <w:rPr>
          <w:rFonts w:ascii="Century Schoolbook" w:hAnsi="Century Schoolbook" w:cs="Times New Roman"/>
          <w:sz w:val="22"/>
          <w:szCs w:val="22"/>
        </w:rPr>
        <w:t>presumably because the female applicants’ neat handwriting did not disclose their likely gender.</w:t>
      </w:r>
    </w:p>
    <w:p w:rsidR="00625B3F" w:rsidRPr="008F3E1D" w:rsidRDefault="00625B3F" w:rsidP="00625B3F">
      <w:pPr>
        <w:widowControl w:val="0"/>
        <w:spacing w:line="360" w:lineRule="auto"/>
        <w:ind w:firstLine="720"/>
        <w:rPr>
          <w:rFonts w:ascii="Century Schoolbook" w:hAnsi="Century Schoolbook" w:cs="Times New Roman"/>
          <w:sz w:val="22"/>
          <w:szCs w:val="22"/>
        </w:rPr>
      </w:pPr>
      <w:r w:rsidRPr="008F3E1D">
        <w:rPr>
          <w:rFonts w:ascii="Century Schoolbook" w:hAnsi="Century Schoolbook" w:cs="Times New Roman"/>
          <w:sz w:val="22"/>
          <w:szCs w:val="22"/>
        </w:rPr>
        <w:t>Moreover, while managers evaluate employees on technical or presumably objective metrics, when it comes time to put the whole picture together, their use of objective data is different for men than women.  Particularly</w:t>
      </w:r>
      <w:r>
        <w:rPr>
          <w:rFonts w:ascii="Century Schoolbook" w:hAnsi="Century Schoolbook" w:cs="Times New Roman"/>
          <w:sz w:val="22"/>
          <w:szCs w:val="22"/>
        </w:rPr>
        <w:t>,</w:t>
      </w:r>
      <w:r w:rsidRPr="008F3E1D">
        <w:rPr>
          <w:rFonts w:ascii="Century Schoolbook" w:hAnsi="Century Schoolbook" w:cs="Times New Roman"/>
          <w:sz w:val="22"/>
          <w:szCs w:val="22"/>
        </w:rPr>
        <w:t xml:space="preserve"> when someone is neither a star nor plainly unqualified (which is true for most younger or upcoming lawyers seeking a first shot on a leadership team), the decision whether to hire or promote will be based much more on “feel” than on technical skill.  The </w:t>
      </w:r>
      <w:proofErr w:type="spellStart"/>
      <w:r w:rsidRPr="008F3E1D">
        <w:rPr>
          <w:rFonts w:ascii="Century Schoolbook" w:hAnsi="Century Schoolbook" w:cs="Times New Roman"/>
          <w:sz w:val="22"/>
          <w:szCs w:val="22"/>
        </w:rPr>
        <w:t>decisionmaker</w:t>
      </w:r>
      <w:proofErr w:type="spellEnd"/>
      <w:r w:rsidRPr="008F3E1D">
        <w:rPr>
          <w:rFonts w:ascii="Century Schoolbook" w:hAnsi="Century Schoolbook" w:cs="Times New Roman"/>
          <w:sz w:val="22"/>
          <w:szCs w:val="22"/>
        </w:rPr>
        <w:t xml:space="preserve"> tends to minimize the objective metrics (unless it suits them to do otherwise), such as performance on a test, and focus</w:t>
      </w:r>
      <w:r>
        <w:rPr>
          <w:rFonts w:ascii="Century Schoolbook" w:hAnsi="Century Schoolbook" w:cs="Times New Roman"/>
          <w:sz w:val="22"/>
          <w:szCs w:val="22"/>
        </w:rPr>
        <w:t>es instead</w:t>
      </w:r>
      <w:r w:rsidRPr="008F3E1D">
        <w:rPr>
          <w:rFonts w:ascii="Century Schoolbook" w:hAnsi="Century Schoolbook" w:cs="Times New Roman"/>
          <w:sz w:val="22"/>
          <w:szCs w:val="22"/>
        </w:rPr>
        <w:t xml:space="preserve"> on intangibles.  And because people “feel” worse about those different from themselves, this means that, unless diverse candidates have advocates to push them into leadership roles, they are less likely to make it through a leadership selection process.</w:t>
      </w:r>
      <w:r w:rsidRPr="008F3E1D">
        <w:rPr>
          <w:rStyle w:val="FootnoteReference"/>
          <w:rFonts w:ascii="Century Schoolbook" w:hAnsi="Century Schoolbook" w:cs="Times New Roman"/>
          <w:sz w:val="22"/>
          <w:szCs w:val="22"/>
        </w:rPr>
        <w:footnoteReference w:id="43"/>
      </w:r>
    </w:p>
    <w:p w:rsidR="00625B3F" w:rsidRPr="008F3E1D" w:rsidRDefault="00625B3F" w:rsidP="00625B3F">
      <w:pPr>
        <w:pStyle w:val="ListParagraph"/>
        <w:widowControl w:val="0"/>
        <w:numPr>
          <w:ilvl w:val="0"/>
          <w:numId w:val="6"/>
        </w:numPr>
        <w:spacing w:after="120"/>
        <w:ind w:left="1440" w:hanging="720"/>
        <w:rPr>
          <w:rFonts w:ascii="Century Schoolbook" w:hAnsi="Century Schoolbook" w:cs="Times New Roman"/>
          <w:b/>
          <w:sz w:val="22"/>
          <w:szCs w:val="22"/>
        </w:rPr>
      </w:pPr>
      <w:r w:rsidRPr="008F3E1D">
        <w:rPr>
          <w:rFonts w:ascii="Century Schoolbook" w:hAnsi="Century Schoolbook" w:cs="Times New Roman"/>
          <w:b/>
          <w:sz w:val="22"/>
          <w:szCs w:val="22"/>
        </w:rPr>
        <w:t xml:space="preserve">Intersectionality of Race, Sexual Orientation, and Gender Further Complicates Discrimination </w:t>
      </w:r>
    </w:p>
    <w:p w:rsidR="00625B3F" w:rsidRPr="008F3E1D" w:rsidRDefault="00625B3F" w:rsidP="00625B3F">
      <w:pPr>
        <w:widowControl w:val="0"/>
        <w:spacing w:line="360" w:lineRule="auto"/>
        <w:ind w:firstLine="720"/>
        <w:rPr>
          <w:rFonts w:ascii="Century Schoolbook" w:hAnsi="Century Schoolbook" w:cs="Times New Roman"/>
          <w:sz w:val="22"/>
          <w:szCs w:val="22"/>
        </w:rPr>
      </w:pPr>
      <w:r w:rsidRPr="008F3E1D">
        <w:rPr>
          <w:rFonts w:ascii="Century Schoolbook" w:hAnsi="Century Schoolbook" w:cs="Times New Roman"/>
          <w:sz w:val="22"/>
          <w:szCs w:val="22"/>
        </w:rPr>
        <w:t>There is virtually no objective data reflecting the disparity in MDL and class action leadership opportunities by race, ethnicity, sexual orientation</w:t>
      </w:r>
      <w:r>
        <w:rPr>
          <w:rFonts w:ascii="Century Schoolbook" w:hAnsi="Century Schoolbook" w:cs="Times New Roman"/>
          <w:sz w:val="22"/>
          <w:szCs w:val="22"/>
        </w:rPr>
        <w:t>,</w:t>
      </w:r>
      <w:r w:rsidRPr="008F3E1D">
        <w:rPr>
          <w:rFonts w:ascii="Century Schoolbook" w:hAnsi="Century Schoolbook" w:cs="Times New Roman"/>
          <w:sz w:val="22"/>
          <w:szCs w:val="22"/>
        </w:rPr>
        <w:t xml:space="preserve"> or other metrics for measuring diversity.</w:t>
      </w:r>
      <w:r w:rsidRPr="008F3E1D">
        <w:rPr>
          <w:rStyle w:val="FootnoteReference"/>
          <w:rFonts w:ascii="Century Schoolbook" w:hAnsi="Century Schoolbook" w:cs="Times New Roman"/>
          <w:sz w:val="22"/>
          <w:szCs w:val="22"/>
        </w:rPr>
        <w:footnoteReference w:id="44"/>
      </w:r>
      <w:r w:rsidRPr="008F3E1D">
        <w:rPr>
          <w:rFonts w:ascii="Century Schoolbook" w:hAnsi="Century Schoolbook" w:cs="Times New Roman"/>
          <w:sz w:val="22"/>
          <w:szCs w:val="22"/>
        </w:rPr>
        <w:t xml:space="preserve">  Still, the existence of a problem is indisputable.  As disappointing as the picture looks for straight white women, the representation of women who are diverse in other respects is far more limited.</w:t>
      </w:r>
      <w:r w:rsidRPr="008F3E1D">
        <w:rPr>
          <w:rStyle w:val="FootnoteReference"/>
          <w:rFonts w:ascii="Century Schoolbook" w:hAnsi="Century Schoolbook" w:cs="Times New Roman"/>
          <w:sz w:val="22"/>
          <w:szCs w:val="22"/>
        </w:rPr>
        <w:footnoteReference w:id="45"/>
      </w:r>
    </w:p>
    <w:p w:rsidR="00625B3F" w:rsidRPr="008F3E1D" w:rsidRDefault="00625B3F" w:rsidP="00625B3F">
      <w:pPr>
        <w:pStyle w:val="ListParagraph"/>
        <w:widowControl w:val="0"/>
        <w:numPr>
          <w:ilvl w:val="0"/>
          <w:numId w:val="6"/>
        </w:numPr>
        <w:spacing w:after="120"/>
        <w:ind w:left="1440" w:hanging="720"/>
        <w:rPr>
          <w:rFonts w:ascii="Century Schoolbook" w:hAnsi="Century Schoolbook" w:cs="Times New Roman"/>
          <w:b/>
          <w:sz w:val="22"/>
          <w:szCs w:val="22"/>
        </w:rPr>
      </w:pPr>
      <w:r w:rsidRPr="008F3E1D">
        <w:rPr>
          <w:rFonts w:ascii="Century Schoolbook" w:hAnsi="Century Schoolbook" w:cs="Times New Roman"/>
          <w:b/>
          <w:sz w:val="22"/>
          <w:szCs w:val="22"/>
        </w:rPr>
        <w:t xml:space="preserve">Private Ordering </w:t>
      </w:r>
      <w:r>
        <w:rPr>
          <w:rFonts w:ascii="Century Schoolbook" w:hAnsi="Century Schoolbook" w:cs="Times New Roman"/>
          <w:b/>
          <w:sz w:val="22"/>
          <w:szCs w:val="22"/>
        </w:rPr>
        <w:t>Favors</w:t>
      </w:r>
      <w:r w:rsidRPr="008F3E1D">
        <w:rPr>
          <w:rFonts w:ascii="Century Schoolbook" w:hAnsi="Century Schoolbook" w:cs="Times New Roman"/>
          <w:b/>
          <w:sz w:val="22"/>
          <w:szCs w:val="22"/>
        </w:rPr>
        <w:t xml:space="preserve"> Repeat Players and</w:t>
      </w:r>
      <w:r>
        <w:rPr>
          <w:rFonts w:ascii="Century Schoolbook" w:hAnsi="Century Schoolbook" w:cs="Times New Roman"/>
          <w:b/>
          <w:sz w:val="22"/>
          <w:szCs w:val="22"/>
        </w:rPr>
        <w:t xml:space="preserve"> Creates</w:t>
      </w:r>
      <w:r w:rsidRPr="008F3E1D">
        <w:rPr>
          <w:rFonts w:ascii="Century Schoolbook" w:hAnsi="Century Schoolbook" w:cs="Times New Roman"/>
          <w:b/>
          <w:sz w:val="22"/>
          <w:szCs w:val="22"/>
        </w:rPr>
        <w:t xml:space="preserve"> a Bottleneck of Senior Lawyers Filling Leadership Slots </w:t>
      </w:r>
    </w:p>
    <w:p w:rsidR="00625B3F" w:rsidRPr="008F3E1D" w:rsidRDefault="00625B3F" w:rsidP="00625B3F">
      <w:pPr>
        <w:pStyle w:val="BodyText"/>
        <w:spacing w:before="0" w:line="360" w:lineRule="auto"/>
        <w:ind w:firstLine="720"/>
        <w:rPr>
          <w:rFonts w:ascii="Century Schoolbook" w:hAnsi="Century Schoolbook" w:cs="Times New Roman"/>
          <w:bCs/>
          <w:sz w:val="22"/>
        </w:rPr>
      </w:pPr>
      <w:r>
        <w:rPr>
          <w:rFonts w:ascii="Century Schoolbook" w:hAnsi="Century Schoolbook" w:cs="Times New Roman"/>
          <w:bCs/>
          <w:sz w:val="22"/>
        </w:rPr>
        <w:t>The</w:t>
      </w:r>
      <w:r w:rsidRPr="008F3E1D">
        <w:rPr>
          <w:rFonts w:ascii="Century Schoolbook" w:hAnsi="Century Schoolbook" w:cs="Times New Roman"/>
          <w:bCs/>
          <w:sz w:val="22"/>
        </w:rPr>
        <w:t xml:space="preserve"> leadership appointment system in MDL actions has worked</w:t>
      </w:r>
      <w:r>
        <w:rPr>
          <w:rFonts w:ascii="Century Schoolbook" w:hAnsi="Century Schoolbook" w:cs="Times New Roman"/>
          <w:bCs/>
          <w:sz w:val="22"/>
        </w:rPr>
        <w:t xml:space="preserve"> </w:t>
      </w:r>
      <w:r w:rsidRPr="008F3E1D">
        <w:rPr>
          <w:rFonts w:ascii="Century Schoolbook" w:hAnsi="Century Schoolbook" w:cs="Times New Roman"/>
          <w:bCs/>
          <w:sz w:val="22"/>
        </w:rPr>
        <w:t>—</w:t>
      </w:r>
      <w:r>
        <w:rPr>
          <w:rFonts w:ascii="Century Schoolbook" w:hAnsi="Century Schoolbook" w:cs="Times New Roman"/>
          <w:bCs/>
          <w:sz w:val="22"/>
        </w:rPr>
        <w:t xml:space="preserve"> </w:t>
      </w:r>
      <w:r w:rsidRPr="008F3E1D">
        <w:rPr>
          <w:rFonts w:ascii="Century Schoolbook" w:hAnsi="Century Schoolbook" w:cs="Times New Roman"/>
          <w:bCs/>
          <w:sz w:val="22"/>
        </w:rPr>
        <w:t>and largely continues to work</w:t>
      </w:r>
      <w:r>
        <w:rPr>
          <w:rFonts w:ascii="Century Schoolbook" w:hAnsi="Century Schoolbook" w:cs="Times New Roman"/>
          <w:bCs/>
          <w:sz w:val="22"/>
        </w:rPr>
        <w:t xml:space="preserve"> </w:t>
      </w:r>
      <w:r w:rsidRPr="008F3E1D">
        <w:rPr>
          <w:rFonts w:ascii="Century Schoolbook" w:hAnsi="Century Schoolbook" w:cs="Times New Roman"/>
          <w:bCs/>
          <w:sz w:val="22"/>
        </w:rPr>
        <w:t>—</w:t>
      </w:r>
      <w:r>
        <w:rPr>
          <w:rFonts w:ascii="Century Schoolbook" w:hAnsi="Century Schoolbook" w:cs="Times New Roman"/>
          <w:bCs/>
          <w:sz w:val="22"/>
        </w:rPr>
        <w:t xml:space="preserve"> </w:t>
      </w:r>
      <w:r w:rsidRPr="008F3E1D">
        <w:rPr>
          <w:rFonts w:ascii="Century Schoolbook" w:hAnsi="Century Schoolbook" w:cs="Times New Roman"/>
          <w:bCs/>
          <w:sz w:val="22"/>
        </w:rPr>
        <w:t xml:space="preserve">to limit opportunities for diverse lawyers.  Put most simply, because the current appointment system favors seniority, and because senior lawyers are </w:t>
      </w:r>
      <w:r>
        <w:rPr>
          <w:rFonts w:ascii="Century Schoolbook" w:hAnsi="Century Schoolbook" w:cs="Times New Roman"/>
          <w:bCs/>
          <w:sz w:val="22"/>
        </w:rPr>
        <w:t>often white men</w:t>
      </w:r>
      <w:r w:rsidRPr="008F3E1D">
        <w:rPr>
          <w:rFonts w:ascii="Century Schoolbook" w:hAnsi="Century Schoolbook" w:cs="Times New Roman"/>
          <w:bCs/>
          <w:sz w:val="22"/>
        </w:rPr>
        <w:t xml:space="preserve">, </w:t>
      </w:r>
      <w:r>
        <w:rPr>
          <w:rFonts w:ascii="Century Schoolbook" w:hAnsi="Century Schoolbook" w:cs="Times New Roman"/>
          <w:bCs/>
          <w:sz w:val="22"/>
        </w:rPr>
        <w:t>the system favors homogenous leadership teams</w:t>
      </w:r>
      <w:r w:rsidRPr="008F3E1D">
        <w:rPr>
          <w:rFonts w:ascii="Century Schoolbook" w:hAnsi="Century Schoolbook" w:cs="Times New Roman"/>
          <w:bCs/>
          <w:sz w:val="22"/>
        </w:rPr>
        <w:t xml:space="preserve">. </w:t>
      </w:r>
    </w:p>
    <w:p w:rsidR="00625B3F" w:rsidRPr="008F3E1D" w:rsidRDefault="00625B3F" w:rsidP="00625B3F">
      <w:pPr>
        <w:pStyle w:val="BodyText"/>
        <w:spacing w:before="0" w:line="360" w:lineRule="auto"/>
        <w:ind w:firstLine="720"/>
        <w:rPr>
          <w:rFonts w:ascii="Century Schoolbook" w:hAnsi="Century Schoolbook" w:cs="Times New Roman"/>
          <w:bCs/>
          <w:sz w:val="22"/>
        </w:rPr>
      </w:pPr>
      <w:r w:rsidRPr="008F3E1D">
        <w:rPr>
          <w:rFonts w:ascii="Century Schoolbook" w:hAnsi="Century Schoolbook" w:cs="Times New Roman"/>
          <w:bCs/>
          <w:sz w:val="22"/>
        </w:rPr>
        <w:t xml:space="preserve">The </w:t>
      </w:r>
      <w:r w:rsidRPr="00CE6C26">
        <w:rPr>
          <w:rFonts w:ascii="Century Schoolbook" w:hAnsi="Century Schoolbook" w:cs="Times New Roman"/>
          <w:i/>
          <w:sz w:val="22"/>
        </w:rPr>
        <w:t>Manual</w:t>
      </w:r>
      <w:r w:rsidRPr="00CE6C26">
        <w:rPr>
          <w:rFonts w:ascii="Century Schoolbook" w:hAnsi="Century Schoolbook" w:cs="Times New Roman"/>
          <w:bCs/>
          <w:i/>
          <w:sz w:val="22"/>
        </w:rPr>
        <w:t xml:space="preserve"> </w:t>
      </w:r>
      <w:r>
        <w:rPr>
          <w:rFonts w:ascii="Century Schoolbook" w:hAnsi="Century Schoolbook" w:cs="Times New Roman"/>
          <w:bCs/>
          <w:sz w:val="22"/>
        </w:rPr>
        <w:t>suggests</w:t>
      </w:r>
      <w:r w:rsidRPr="008F3E1D">
        <w:rPr>
          <w:rFonts w:ascii="Century Schoolbook" w:hAnsi="Century Schoolbook" w:cs="Times New Roman"/>
          <w:bCs/>
          <w:sz w:val="22"/>
        </w:rPr>
        <w:t xml:space="preserve"> factors judges may use in selecting MDL leaders.  Not surprisingly, two of the most important and most frequently cited criteria are (1) “knowledge and experience” in the type of litigation and (2) access to sufficient resources.</w:t>
      </w:r>
      <w:r w:rsidRPr="008F3E1D">
        <w:rPr>
          <w:rFonts w:ascii="Century Schoolbook" w:hAnsi="Century Schoolbook"/>
          <w:sz w:val="22"/>
          <w:vertAlign w:val="superscript"/>
        </w:rPr>
        <w:footnoteReference w:id="46"/>
      </w:r>
      <w:r w:rsidRPr="008F3E1D">
        <w:rPr>
          <w:rFonts w:ascii="Century Schoolbook" w:hAnsi="Century Schoolbook" w:cs="Times New Roman"/>
          <w:bCs/>
          <w:sz w:val="22"/>
        </w:rPr>
        <w:t xml:space="preserve">  Being able to say, “I’ve done this many times before” and “I can put a lot of money into this” counts for a lot, but only those who have seniority and an established track record (which mostly means only white men) can credibly make that claim.</w:t>
      </w:r>
      <w:r w:rsidRPr="008F3E1D">
        <w:rPr>
          <w:rStyle w:val="FootnoteReference"/>
          <w:rFonts w:ascii="Century Schoolbook" w:hAnsi="Century Schoolbook" w:cs="Times New Roman"/>
          <w:bCs/>
          <w:sz w:val="22"/>
        </w:rPr>
        <w:footnoteReference w:id="47"/>
      </w:r>
    </w:p>
    <w:p w:rsidR="00625B3F" w:rsidRPr="008F3E1D" w:rsidRDefault="00625B3F" w:rsidP="00625B3F">
      <w:pPr>
        <w:pStyle w:val="BodyText"/>
        <w:spacing w:before="0" w:line="360" w:lineRule="auto"/>
        <w:ind w:firstLine="720"/>
        <w:rPr>
          <w:rFonts w:ascii="Century Schoolbook" w:hAnsi="Century Schoolbook" w:cs="Times New Roman"/>
          <w:bCs/>
          <w:sz w:val="22"/>
        </w:rPr>
      </w:pPr>
      <w:r w:rsidRPr="008F3E1D">
        <w:rPr>
          <w:rFonts w:ascii="Century Schoolbook" w:hAnsi="Century Schoolbook" w:cs="Times New Roman"/>
          <w:sz w:val="22"/>
        </w:rPr>
        <w:t>While judges’ methods of appointment vary, traditionally judges have appointed class action and MDL leadership through “private ordering”</w:t>
      </w:r>
      <w:r>
        <w:rPr>
          <w:rFonts w:ascii="Century Schoolbook" w:hAnsi="Century Schoolbook" w:cs="Times New Roman"/>
          <w:sz w:val="22"/>
        </w:rPr>
        <w:t xml:space="preserve"> </w:t>
      </w:r>
      <w:r w:rsidRPr="008F3E1D">
        <w:rPr>
          <w:rFonts w:ascii="Century Schoolbook" w:hAnsi="Century Schoolbook" w:cs="Times New Roman"/>
          <w:bCs/>
          <w:sz w:val="22"/>
        </w:rPr>
        <w:t>—</w:t>
      </w:r>
      <w:r>
        <w:rPr>
          <w:rFonts w:ascii="Century Schoolbook" w:hAnsi="Century Schoolbook" w:cs="Times New Roman"/>
          <w:bCs/>
          <w:sz w:val="22"/>
        </w:rPr>
        <w:t xml:space="preserve"> </w:t>
      </w:r>
      <w:r w:rsidRPr="008F3E1D">
        <w:rPr>
          <w:rFonts w:ascii="Century Schoolbook" w:hAnsi="Century Schoolbook" w:cs="Times New Roman"/>
          <w:bCs/>
          <w:sz w:val="22"/>
        </w:rPr>
        <w:t>also known as the “consensus model”</w:t>
      </w:r>
      <w:r>
        <w:rPr>
          <w:rFonts w:ascii="Century Schoolbook" w:hAnsi="Century Schoolbook" w:cs="Times New Roman"/>
          <w:bCs/>
          <w:sz w:val="22"/>
        </w:rPr>
        <w:t xml:space="preserve"> </w:t>
      </w:r>
      <w:r w:rsidRPr="008F3E1D">
        <w:rPr>
          <w:rFonts w:ascii="Century Schoolbook" w:hAnsi="Century Schoolbook" w:cs="Times New Roman"/>
          <w:bCs/>
          <w:sz w:val="22"/>
        </w:rPr>
        <w:t>—</w:t>
      </w:r>
      <w:r w:rsidRPr="008F3E1D">
        <w:rPr>
          <w:rFonts w:ascii="Century Schoolbook" w:hAnsi="Century Schoolbook" w:cs="Times New Roman"/>
          <w:sz w:val="22"/>
        </w:rPr>
        <w:t xml:space="preserve"> a process in which </w:t>
      </w:r>
      <w:r w:rsidRPr="008F3E1D">
        <w:rPr>
          <w:rFonts w:ascii="Century Schoolbook" w:hAnsi="Century Schoolbook" w:cs="Times New Roman"/>
          <w:bCs/>
          <w:sz w:val="22"/>
        </w:rPr>
        <w:t>judges request that each side come to an agreement on leadership amongst themselves and present a unified slate for approval by the court, which typically adopts the presented slate wholesale</w:t>
      </w:r>
      <w:r w:rsidRPr="008F3E1D">
        <w:rPr>
          <w:rFonts w:ascii="Century Schoolbook" w:hAnsi="Century Schoolbook" w:cs="Times New Roman"/>
          <w:sz w:val="22"/>
        </w:rPr>
        <w:t xml:space="preserve">.  </w:t>
      </w:r>
      <w:r w:rsidRPr="008F3E1D">
        <w:rPr>
          <w:rFonts w:ascii="Century Schoolbook" w:hAnsi="Century Schoolbook" w:cs="Times New Roman"/>
          <w:bCs/>
          <w:sz w:val="22"/>
        </w:rPr>
        <w:t xml:space="preserve">Getting on this slate, of course, requires name recognition, a degree of both financial and political clout, and a personal network of internal advocates.  </w:t>
      </w:r>
    </w:p>
    <w:p w:rsidR="00625B3F" w:rsidRPr="008F3E1D" w:rsidRDefault="00625B3F" w:rsidP="00625B3F">
      <w:pPr>
        <w:pStyle w:val="BodyText"/>
        <w:spacing w:before="0" w:line="360" w:lineRule="auto"/>
        <w:ind w:firstLine="720"/>
        <w:rPr>
          <w:rFonts w:ascii="Century Schoolbook" w:hAnsi="Century Schoolbook" w:cs="Times New Roman"/>
          <w:sz w:val="22"/>
        </w:rPr>
      </w:pPr>
      <w:r w:rsidRPr="008F3E1D">
        <w:rPr>
          <w:rFonts w:ascii="Century Schoolbook" w:hAnsi="Century Schoolbook" w:cs="Times New Roman"/>
          <w:sz w:val="22"/>
        </w:rPr>
        <w:t>Many researchers have observed that private ordering has created a “boys’ club,”</w:t>
      </w:r>
      <w:r w:rsidRPr="008F3E1D">
        <w:rPr>
          <w:rStyle w:val="FootnoteReference"/>
          <w:rFonts w:ascii="Century Schoolbook" w:hAnsi="Century Schoolbook" w:cs="Times New Roman"/>
          <w:sz w:val="22"/>
        </w:rPr>
        <w:t xml:space="preserve"> </w:t>
      </w:r>
      <w:r w:rsidRPr="008F3E1D">
        <w:rPr>
          <w:rFonts w:ascii="Century Schoolbook" w:hAnsi="Century Schoolbook" w:cs="Times New Roman"/>
          <w:sz w:val="22"/>
        </w:rPr>
        <w:t xml:space="preserve">or a very small group of MDL and class action “repeat players,” mostly senior male attorneys, who are appointed to key leadership positions again and again and leave no </w:t>
      </w:r>
      <w:r>
        <w:rPr>
          <w:rFonts w:ascii="Century Schoolbook" w:hAnsi="Century Schoolbook" w:cs="Times New Roman"/>
          <w:sz w:val="22"/>
        </w:rPr>
        <w:t>opportunities</w:t>
      </w:r>
      <w:r w:rsidRPr="008F3E1D">
        <w:rPr>
          <w:rFonts w:ascii="Century Schoolbook" w:hAnsi="Century Schoolbook" w:cs="Times New Roman"/>
          <w:sz w:val="22"/>
        </w:rPr>
        <w:t xml:space="preserve"> for new female attorneys</w:t>
      </w:r>
      <w:r>
        <w:rPr>
          <w:rFonts w:ascii="Century Schoolbook" w:hAnsi="Century Schoolbook" w:cs="Times New Roman"/>
          <w:sz w:val="22"/>
        </w:rPr>
        <w:t>.</w:t>
      </w:r>
      <w:r w:rsidRPr="008F3E1D">
        <w:rPr>
          <w:rStyle w:val="FootnoteReference"/>
          <w:rFonts w:ascii="Century Schoolbook" w:hAnsi="Century Schoolbook" w:cs="Times New Roman"/>
          <w:sz w:val="22"/>
        </w:rPr>
        <w:footnoteReference w:id="48"/>
      </w:r>
      <w:r w:rsidRPr="008F3E1D">
        <w:rPr>
          <w:rFonts w:ascii="Century Schoolbook" w:hAnsi="Century Schoolbook" w:cs="Times New Roman"/>
          <w:sz w:val="22"/>
        </w:rPr>
        <w:t xml:space="preserve">  Repeat players shape leadership appointments in several ways:  (1) the consensus or “self-ordering” selection method allows repeat players to proffer a preordained leadership slate; (2) even if a judge employs a competitive selection process, chosen leaders (often repeat players because they tend to have the most experience) are typically empowered to select attorneys to perform work or serve on subcommittees; and (3) even in open-selection appointment methods, repeat players can endorse and vouch for one-another’s abilities.</w:t>
      </w:r>
      <w:r w:rsidRPr="008F3E1D">
        <w:rPr>
          <w:rStyle w:val="FootnoteReference"/>
          <w:rFonts w:ascii="Century Schoolbook" w:hAnsi="Century Schoolbook" w:cs="Times New Roman"/>
          <w:sz w:val="22"/>
        </w:rPr>
        <w:footnoteReference w:id="49"/>
      </w:r>
      <w:r w:rsidRPr="008F3E1D">
        <w:rPr>
          <w:rFonts w:ascii="Century Schoolbook" w:hAnsi="Century Schoolbook" w:cs="Times New Roman"/>
          <w:sz w:val="22"/>
        </w:rPr>
        <w:t xml:space="preserve">   </w:t>
      </w:r>
    </w:p>
    <w:p w:rsidR="00625B3F" w:rsidRPr="008F3E1D" w:rsidRDefault="00625B3F" w:rsidP="00625B3F">
      <w:pPr>
        <w:pStyle w:val="BodyText"/>
        <w:spacing w:before="0" w:line="360" w:lineRule="auto"/>
        <w:ind w:firstLine="720"/>
        <w:rPr>
          <w:rFonts w:ascii="Century Schoolbook" w:hAnsi="Century Schoolbook" w:cs="Times New Roman"/>
          <w:sz w:val="22"/>
        </w:rPr>
      </w:pPr>
      <w:r w:rsidRPr="008F3E1D">
        <w:rPr>
          <w:rFonts w:ascii="Century Schoolbook" w:hAnsi="Century Schoolbook" w:cs="Times New Roman"/>
          <w:sz w:val="22"/>
        </w:rPr>
        <w:t xml:space="preserve">Although the presence of some repeat players in MDL and class actions can be a boon in </w:t>
      </w:r>
      <w:r>
        <w:rPr>
          <w:rFonts w:ascii="Century Schoolbook" w:hAnsi="Century Schoolbook" w:cs="Times New Roman"/>
          <w:sz w:val="22"/>
        </w:rPr>
        <w:t>certain</w:t>
      </w:r>
      <w:r w:rsidRPr="008F3E1D">
        <w:rPr>
          <w:rFonts w:ascii="Century Schoolbook" w:hAnsi="Century Schoolbook" w:cs="Times New Roman"/>
          <w:sz w:val="22"/>
        </w:rPr>
        <w:t xml:space="preserve"> respects (for example, they can capitalize on acquired knowledge and </w:t>
      </w:r>
      <w:r>
        <w:rPr>
          <w:rFonts w:ascii="Century Schoolbook" w:hAnsi="Century Schoolbook" w:cs="Times New Roman"/>
          <w:sz w:val="22"/>
        </w:rPr>
        <w:t>often bring significant economic resources to litigation</w:t>
      </w:r>
      <w:r w:rsidRPr="008F3E1D">
        <w:rPr>
          <w:rFonts w:ascii="Century Schoolbook" w:hAnsi="Century Schoolbook" w:cs="Times New Roman"/>
          <w:sz w:val="22"/>
        </w:rPr>
        <w:t xml:space="preserve">), repeat players should seek to promote qualified newcomers and judges should strive for more diverse appointments.  </w:t>
      </w:r>
      <w:r>
        <w:rPr>
          <w:rFonts w:ascii="Century Schoolbook" w:hAnsi="Century Schoolbook" w:cs="Times New Roman"/>
          <w:sz w:val="22"/>
        </w:rPr>
        <w:t>This entrenched status quo stifles the development</w:t>
      </w:r>
      <w:r w:rsidRPr="008F3E1D">
        <w:rPr>
          <w:rFonts w:ascii="Century Schoolbook" w:hAnsi="Century Schoolbook" w:cs="Times New Roman"/>
          <w:sz w:val="22"/>
        </w:rPr>
        <w:t xml:space="preserve"> </w:t>
      </w:r>
      <w:r>
        <w:rPr>
          <w:rFonts w:ascii="Century Schoolbook" w:hAnsi="Century Schoolbook" w:cs="Times New Roman"/>
          <w:sz w:val="22"/>
        </w:rPr>
        <w:t xml:space="preserve">of </w:t>
      </w:r>
      <w:r w:rsidRPr="008F3E1D">
        <w:rPr>
          <w:rFonts w:ascii="Century Schoolbook" w:hAnsi="Century Schoolbook" w:cs="Times New Roman"/>
          <w:sz w:val="22"/>
        </w:rPr>
        <w:t xml:space="preserve">qualified, capable female and other </w:t>
      </w:r>
      <w:r>
        <w:rPr>
          <w:rFonts w:ascii="Century Schoolbook" w:hAnsi="Century Schoolbook" w:cs="Times New Roman"/>
          <w:sz w:val="22"/>
        </w:rPr>
        <w:t>diverse</w:t>
      </w:r>
      <w:r w:rsidRPr="008F3E1D">
        <w:rPr>
          <w:rFonts w:ascii="Century Schoolbook" w:hAnsi="Century Schoolbook" w:cs="Times New Roman"/>
          <w:sz w:val="22"/>
        </w:rPr>
        <w:t xml:space="preserve"> attorneys</w:t>
      </w:r>
      <w:r>
        <w:rPr>
          <w:rFonts w:ascii="Century Schoolbook" w:hAnsi="Century Schoolbook" w:cs="Times New Roman"/>
          <w:sz w:val="22"/>
        </w:rPr>
        <w:t xml:space="preserve">, who will be robbed of a chance </w:t>
      </w:r>
      <w:proofErr w:type="gramStart"/>
      <w:r>
        <w:rPr>
          <w:rFonts w:ascii="Century Schoolbook" w:hAnsi="Century Schoolbook" w:cs="Times New Roman"/>
          <w:sz w:val="22"/>
        </w:rPr>
        <w:t xml:space="preserve">to </w:t>
      </w:r>
      <w:r w:rsidRPr="008F3E1D">
        <w:rPr>
          <w:rFonts w:ascii="Century Schoolbook" w:hAnsi="Century Schoolbook" w:cs="Times New Roman"/>
          <w:sz w:val="22"/>
        </w:rPr>
        <w:t xml:space="preserve"> shine</w:t>
      </w:r>
      <w:proofErr w:type="gramEnd"/>
      <w:r w:rsidRPr="008F3E1D">
        <w:rPr>
          <w:rFonts w:ascii="Century Schoolbook" w:hAnsi="Century Schoolbook" w:cs="Times New Roman"/>
          <w:sz w:val="22"/>
        </w:rPr>
        <w:t xml:space="preserve"> </w:t>
      </w:r>
      <w:r>
        <w:rPr>
          <w:rFonts w:ascii="Century Schoolbook" w:hAnsi="Century Schoolbook" w:cs="Times New Roman"/>
          <w:sz w:val="22"/>
        </w:rPr>
        <w:t>absent</w:t>
      </w:r>
      <w:r w:rsidRPr="008F3E1D">
        <w:rPr>
          <w:rFonts w:ascii="Century Schoolbook" w:hAnsi="Century Schoolbook" w:cs="Times New Roman"/>
          <w:sz w:val="22"/>
        </w:rPr>
        <w:t xml:space="preserve"> a shake-up of the repeat player network.</w:t>
      </w:r>
      <w:bookmarkStart w:id="12" w:name="_Ref510778153"/>
      <w:r w:rsidRPr="008F3E1D">
        <w:rPr>
          <w:rStyle w:val="FootnoteReference"/>
          <w:rFonts w:ascii="Century Schoolbook" w:hAnsi="Century Schoolbook" w:cs="Times New Roman"/>
          <w:sz w:val="22"/>
        </w:rPr>
        <w:footnoteReference w:id="50"/>
      </w:r>
      <w:bookmarkEnd w:id="12"/>
      <w:r w:rsidRPr="008F3E1D">
        <w:rPr>
          <w:rFonts w:ascii="Century Schoolbook" w:hAnsi="Century Schoolbook" w:cs="Times New Roman"/>
          <w:sz w:val="22"/>
        </w:rPr>
        <w:t xml:space="preserve">  Holding back qualified, diverse attorneys from advancement provides a disservice to represented parties; homogeneous groups have been shown to be less innovative than heterogeneous mixes of attorneys.</w:t>
      </w:r>
      <w:r w:rsidRPr="008F3E1D">
        <w:rPr>
          <w:rStyle w:val="FootnoteReference"/>
          <w:rFonts w:ascii="Century Schoolbook" w:hAnsi="Century Schoolbook" w:cs="Times New Roman"/>
          <w:sz w:val="22"/>
        </w:rPr>
        <w:footnoteReference w:id="51"/>
      </w:r>
      <w:r w:rsidRPr="008F3E1D">
        <w:rPr>
          <w:rFonts w:ascii="Century Schoolbook" w:hAnsi="Century Schoolbook" w:cs="Times New Roman"/>
          <w:sz w:val="22"/>
        </w:rPr>
        <w:t xml:space="preserve">  Moreover, </w:t>
      </w:r>
      <w:r w:rsidRPr="008F3E1D">
        <w:rPr>
          <w:rFonts w:ascii="Century Schoolbook" w:hAnsi="Century Schoolbook" w:cs="Times New Roman"/>
          <w:bCs/>
          <w:sz w:val="22"/>
        </w:rPr>
        <w:t xml:space="preserve">judges may </w:t>
      </w:r>
      <w:r>
        <w:rPr>
          <w:rFonts w:ascii="Century Schoolbook" w:hAnsi="Century Schoolbook" w:cs="Times New Roman"/>
          <w:bCs/>
          <w:sz w:val="22"/>
        </w:rPr>
        <w:t xml:space="preserve">grow tired of </w:t>
      </w:r>
      <w:r w:rsidRPr="008F3E1D">
        <w:rPr>
          <w:rFonts w:ascii="Century Schoolbook" w:hAnsi="Century Schoolbook" w:cs="Times New Roman"/>
          <w:bCs/>
          <w:sz w:val="22"/>
        </w:rPr>
        <w:t xml:space="preserve">the script provided by the repeat players from past lawsuits.  </w:t>
      </w:r>
      <w:r>
        <w:rPr>
          <w:rFonts w:ascii="Century Schoolbook" w:hAnsi="Century Schoolbook" w:cs="Times New Roman"/>
          <w:bCs/>
          <w:sz w:val="22"/>
        </w:rPr>
        <w:t>Inviting</w:t>
      </w:r>
      <w:r w:rsidRPr="008F3E1D">
        <w:rPr>
          <w:rFonts w:ascii="Century Schoolbook" w:hAnsi="Century Schoolbook" w:cs="Times New Roman"/>
          <w:bCs/>
          <w:sz w:val="22"/>
        </w:rPr>
        <w:t xml:space="preserve"> </w:t>
      </w:r>
      <w:r>
        <w:rPr>
          <w:rFonts w:ascii="Century Schoolbook" w:hAnsi="Century Schoolbook" w:cs="Times New Roman"/>
          <w:bCs/>
          <w:sz w:val="22"/>
        </w:rPr>
        <w:t xml:space="preserve">to the table </w:t>
      </w:r>
      <w:r w:rsidRPr="008F3E1D">
        <w:rPr>
          <w:rFonts w:ascii="Century Schoolbook" w:hAnsi="Century Schoolbook" w:cs="Times New Roman"/>
          <w:bCs/>
          <w:sz w:val="22"/>
        </w:rPr>
        <w:t xml:space="preserve">leaders who can think </w:t>
      </w:r>
      <w:r>
        <w:rPr>
          <w:rFonts w:ascii="Century Schoolbook" w:hAnsi="Century Schoolbook" w:cs="Times New Roman"/>
          <w:bCs/>
          <w:sz w:val="22"/>
        </w:rPr>
        <w:t>beyond</w:t>
      </w:r>
      <w:r w:rsidRPr="008F3E1D">
        <w:rPr>
          <w:rFonts w:ascii="Century Schoolbook" w:hAnsi="Century Schoolbook" w:cs="Times New Roman"/>
          <w:bCs/>
          <w:sz w:val="22"/>
        </w:rPr>
        <w:t xml:space="preserve"> the box of past MDLs</w:t>
      </w:r>
      <w:r>
        <w:rPr>
          <w:rFonts w:ascii="Century Schoolbook" w:hAnsi="Century Schoolbook" w:cs="Times New Roman"/>
          <w:bCs/>
          <w:sz w:val="22"/>
        </w:rPr>
        <w:t xml:space="preserve">, </w:t>
      </w:r>
      <w:r w:rsidRPr="008F3E1D">
        <w:rPr>
          <w:rFonts w:ascii="Century Schoolbook" w:hAnsi="Century Schoolbook" w:cs="Times New Roman"/>
          <w:bCs/>
          <w:sz w:val="22"/>
        </w:rPr>
        <w:t>potentially find</w:t>
      </w:r>
      <w:r>
        <w:rPr>
          <w:rFonts w:ascii="Century Schoolbook" w:hAnsi="Century Schoolbook" w:cs="Times New Roman"/>
          <w:bCs/>
          <w:sz w:val="22"/>
        </w:rPr>
        <w:t>ing</w:t>
      </w:r>
      <w:r w:rsidRPr="008F3E1D">
        <w:rPr>
          <w:rFonts w:ascii="Century Schoolbook" w:hAnsi="Century Schoolbook" w:cs="Times New Roman"/>
          <w:bCs/>
          <w:sz w:val="22"/>
        </w:rPr>
        <w:t xml:space="preserve"> </w:t>
      </w:r>
      <w:r>
        <w:rPr>
          <w:rFonts w:ascii="Century Schoolbook" w:hAnsi="Century Schoolbook" w:cs="Times New Roman"/>
          <w:bCs/>
          <w:sz w:val="22"/>
        </w:rPr>
        <w:t>new,</w:t>
      </w:r>
      <w:r w:rsidRPr="008F3E1D">
        <w:rPr>
          <w:rFonts w:ascii="Century Schoolbook" w:hAnsi="Century Schoolbook" w:cs="Times New Roman"/>
          <w:bCs/>
          <w:sz w:val="22"/>
        </w:rPr>
        <w:t xml:space="preserve"> creative solutions </w:t>
      </w:r>
      <w:r>
        <w:rPr>
          <w:rFonts w:ascii="Century Schoolbook" w:hAnsi="Century Schoolbook" w:cs="Times New Roman"/>
          <w:bCs/>
          <w:sz w:val="22"/>
        </w:rPr>
        <w:t>to recurring problems, might</w:t>
      </w:r>
      <w:r w:rsidRPr="008F3E1D">
        <w:rPr>
          <w:rFonts w:ascii="Century Schoolbook" w:hAnsi="Century Schoolbook" w:cs="Times New Roman"/>
          <w:bCs/>
          <w:sz w:val="22"/>
        </w:rPr>
        <w:t xml:space="preserve"> also </w:t>
      </w:r>
      <w:r>
        <w:rPr>
          <w:rFonts w:ascii="Century Schoolbook" w:hAnsi="Century Schoolbook" w:cs="Times New Roman"/>
          <w:bCs/>
          <w:sz w:val="22"/>
        </w:rPr>
        <w:t>strengthen</w:t>
      </w:r>
      <w:r w:rsidRPr="008F3E1D">
        <w:rPr>
          <w:rFonts w:ascii="Century Schoolbook" w:hAnsi="Century Schoolbook" w:cs="Times New Roman"/>
          <w:bCs/>
          <w:sz w:val="22"/>
        </w:rPr>
        <w:t xml:space="preserve"> the relationship between the bench and the bar.  </w:t>
      </w:r>
    </w:p>
    <w:p w:rsidR="00625B3F" w:rsidRPr="006E1157" w:rsidRDefault="00625B3F" w:rsidP="00625B3F">
      <w:pPr>
        <w:pStyle w:val="ListParagraph"/>
        <w:numPr>
          <w:ilvl w:val="0"/>
          <w:numId w:val="4"/>
        </w:numPr>
        <w:spacing w:line="360" w:lineRule="auto"/>
        <w:rPr>
          <w:rFonts w:ascii="Century Schoolbook" w:hAnsi="Century Schoolbook"/>
          <w:b/>
          <w:sz w:val="22"/>
          <w:szCs w:val="22"/>
        </w:rPr>
      </w:pPr>
      <w:r>
        <w:rPr>
          <w:rFonts w:ascii="Century Schoolbook" w:hAnsi="Century Schoolbook"/>
          <w:b/>
          <w:sz w:val="22"/>
          <w:szCs w:val="22"/>
        </w:rPr>
        <w:t xml:space="preserve">Making the Case -- </w:t>
      </w:r>
      <w:r w:rsidRPr="006E1157">
        <w:rPr>
          <w:rFonts w:ascii="Century Schoolbook" w:hAnsi="Century Schoolbook"/>
          <w:b/>
          <w:sz w:val="22"/>
          <w:szCs w:val="22"/>
        </w:rPr>
        <w:t>Diversified Leadership Enhances Administration of Justice</w:t>
      </w:r>
    </w:p>
    <w:p w:rsidR="00625B3F" w:rsidRPr="008F3E1D" w:rsidRDefault="00625B3F" w:rsidP="00625B3F">
      <w:pPr>
        <w:spacing w:line="360" w:lineRule="auto"/>
        <w:ind w:firstLine="720"/>
        <w:rPr>
          <w:rFonts w:ascii="Century Schoolbook" w:hAnsi="Century Schoolbook"/>
          <w:sz w:val="22"/>
          <w:szCs w:val="22"/>
        </w:rPr>
      </w:pPr>
      <w:r w:rsidRPr="008F3E1D">
        <w:rPr>
          <w:rFonts w:ascii="Century Schoolbook" w:hAnsi="Century Schoolbook"/>
          <w:sz w:val="22"/>
          <w:szCs w:val="22"/>
        </w:rPr>
        <w:t xml:space="preserve">Increasing diversity in mass tort and class action </w:t>
      </w:r>
      <w:r>
        <w:rPr>
          <w:rFonts w:ascii="Century Schoolbook" w:hAnsi="Century Schoolbook"/>
          <w:sz w:val="22"/>
          <w:szCs w:val="22"/>
        </w:rPr>
        <w:t>leadership so that it better reflects the demographics of represented groups serves the purposes of enhancing the quality and perceived legitimacy of the administration of justice</w:t>
      </w:r>
      <w:r w:rsidRPr="008F3E1D">
        <w:rPr>
          <w:rFonts w:ascii="Century Schoolbook" w:hAnsi="Century Schoolbook"/>
          <w:sz w:val="22"/>
          <w:szCs w:val="22"/>
        </w:rPr>
        <w:t>. At a time when fairness in the courthouse is questioned and judges find themselves increasingly under attack,</w:t>
      </w:r>
      <w:r>
        <w:rPr>
          <w:rStyle w:val="FootnoteReference"/>
          <w:rFonts w:ascii="Century Schoolbook" w:hAnsi="Century Schoolbook"/>
          <w:sz w:val="22"/>
          <w:szCs w:val="22"/>
        </w:rPr>
        <w:footnoteReference w:id="52"/>
      </w:r>
      <w:r w:rsidRPr="008F3E1D">
        <w:rPr>
          <w:rFonts w:ascii="Century Schoolbook" w:hAnsi="Century Schoolbook"/>
          <w:sz w:val="22"/>
          <w:szCs w:val="22"/>
        </w:rPr>
        <w:t xml:space="preserve"> the integrity of the civil justice system is strengthened by inclusion. Participants in the civil justice system </w:t>
      </w:r>
      <w:r>
        <w:rPr>
          <w:rFonts w:ascii="Century Schoolbook" w:hAnsi="Century Schoolbook"/>
          <w:sz w:val="22"/>
          <w:szCs w:val="22"/>
        </w:rPr>
        <w:t xml:space="preserve">–– </w:t>
      </w:r>
      <w:r w:rsidRPr="008F3E1D">
        <w:rPr>
          <w:rFonts w:ascii="Century Schoolbook" w:hAnsi="Century Schoolbook"/>
          <w:sz w:val="22"/>
          <w:szCs w:val="22"/>
        </w:rPr>
        <w:t>plaintiffs, defendants, witnesses, absent class members</w:t>
      </w:r>
      <w:r>
        <w:rPr>
          <w:rFonts w:ascii="Century Schoolbook" w:hAnsi="Century Schoolbook"/>
          <w:sz w:val="22"/>
          <w:szCs w:val="22"/>
        </w:rPr>
        <w:t>,</w:t>
      </w:r>
      <w:r w:rsidRPr="008F3E1D">
        <w:rPr>
          <w:rFonts w:ascii="Century Schoolbook" w:hAnsi="Century Schoolbook"/>
          <w:sz w:val="22"/>
          <w:szCs w:val="22"/>
        </w:rPr>
        <w:t xml:space="preserve"> </w:t>
      </w:r>
      <w:r>
        <w:rPr>
          <w:rFonts w:ascii="Century Schoolbook" w:hAnsi="Century Schoolbook"/>
          <w:sz w:val="22"/>
          <w:szCs w:val="22"/>
        </w:rPr>
        <w:t>and</w:t>
      </w:r>
      <w:r w:rsidRPr="008F3E1D">
        <w:rPr>
          <w:rFonts w:ascii="Century Schoolbook" w:hAnsi="Century Schoolbook"/>
          <w:sz w:val="22"/>
          <w:szCs w:val="22"/>
        </w:rPr>
        <w:t xml:space="preserve"> jurors</w:t>
      </w:r>
      <w:r>
        <w:rPr>
          <w:rFonts w:ascii="Century Schoolbook" w:hAnsi="Century Schoolbook"/>
          <w:sz w:val="22"/>
          <w:szCs w:val="22"/>
        </w:rPr>
        <w:t xml:space="preserve"> </w:t>
      </w:r>
      <w:proofErr w:type="gramStart"/>
      <w:r>
        <w:rPr>
          <w:rFonts w:ascii="Century Schoolbook" w:hAnsi="Century Schoolbook"/>
          <w:sz w:val="22"/>
          <w:szCs w:val="22"/>
        </w:rPr>
        <w:t>alike</w:t>
      </w:r>
      <w:r w:rsidRPr="008F3E1D">
        <w:rPr>
          <w:rFonts w:ascii="Century Schoolbook" w:hAnsi="Century Schoolbook"/>
          <w:sz w:val="22"/>
          <w:szCs w:val="22"/>
        </w:rPr>
        <w:t xml:space="preserve"> </w:t>
      </w:r>
      <w:r>
        <w:rPr>
          <w:rFonts w:ascii="Century Schoolbook" w:hAnsi="Century Schoolbook"/>
          <w:sz w:val="22"/>
          <w:szCs w:val="22"/>
        </w:rPr>
        <w:t xml:space="preserve"> –</w:t>
      </w:r>
      <w:proofErr w:type="gramEnd"/>
      <w:r>
        <w:rPr>
          <w:rFonts w:ascii="Century Schoolbook" w:hAnsi="Century Schoolbook"/>
          <w:sz w:val="22"/>
          <w:szCs w:val="22"/>
        </w:rPr>
        <w:t>–</w:t>
      </w:r>
      <w:r w:rsidRPr="008F3E1D">
        <w:rPr>
          <w:rFonts w:ascii="Century Schoolbook" w:hAnsi="Century Schoolbook"/>
          <w:sz w:val="22"/>
          <w:szCs w:val="22"/>
        </w:rPr>
        <w:t xml:space="preserve"> take comfort in knowing that the system </w:t>
      </w:r>
      <w:r>
        <w:rPr>
          <w:rFonts w:ascii="Century Schoolbook" w:hAnsi="Century Schoolbook"/>
          <w:sz w:val="22"/>
          <w:szCs w:val="22"/>
        </w:rPr>
        <w:t>serves all</w:t>
      </w:r>
      <w:r w:rsidRPr="008F3E1D">
        <w:rPr>
          <w:rFonts w:ascii="Century Schoolbook" w:hAnsi="Century Schoolbook"/>
          <w:sz w:val="22"/>
          <w:szCs w:val="22"/>
        </w:rPr>
        <w:t>.</w:t>
      </w:r>
      <w:r>
        <w:rPr>
          <w:rStyle w:val="FootnoteReference"/>
          <w:rFonts w:ascii="Century Schoolbook" w:hAnsi="Century Schoolbook"/>
          <w:sz w:val="22"/>
          <w:szCs w:val="22"/>
        </w:rPr>
        <w:footnoteReference w:id="53"/>
      </w:r>
      <w:r w:rsidRPr="008F3E1D">
        <w:rPr>
          <w:rFonts w:ascii="Century Schoolbook" w:hAnsi="Century Schoolbook"/>
          <w:sz w:val="22"/>
          <w:szCs w:val="22"/>
        </w:rPr>
        <w:t xml:space="preserve"> </w:t>
      </w:r>
      <w:r>
        <w:rPr>
          <w:rFonts w:ascii="Century Schoolbook" w:hAnsi="Century Schoolbook"/>
          <w:sz w:val="22"/>
          <w:szCs w:val="22"/>
        </w:rPr>
        <w:t xml:space="preserve">Including diverse members in all of these participant cohorts would suggest that the system is not rigged.   </w:t>
      </w:r>
    </w:p>
    <w:p w:rsidR="00625B3F" w:rsidRPr="008F3E1D" w:rsidRDefault="00625B3F" w:rsidP="00625B3F">
      <w:pPr>
        <w:spacing w:line="360" w:lineRule="auto"/>
        <w:ind w:firstLine="720"/>
        <w:rPr>
          <w:rFonts w:ascii="Century Schoolbook" w:hAnsi="Century Schoolbook"/>
          <w:sz w:val="22"/>
          <w:szCs w:val="22"/>
        </w:rPr>
      </w:pPr>
      <w:r w:rsidRPr="008F3E1D">
        <w:rPr>
          <w:rFonts w:ascii="Century Schoolbook" w:hAnsi="Century Schoolbook"/>
          <w:sz w:val="22"/>
          <w:szCs w:val="22"/>
        </w:rPr>
        <w:t xml:space="preserve">Studies show the value of diversity in improved </w:t>
      </w:r>
      <w:proofErr w:type="spellStart"/>
      <w:r w:rsidRPr="008F3E1D">
        <w:rPr>
          <w:rFonts w:ascii="Century Schoolbook" w:hAnsi="Century Schoolbook"/>
          <w:sz w:val="22"/>
          <w:szCs w:val="22"/>
        </w:rPr>
        <w:t>decisionmaking</w:t>
      </w:r>
      <w:proofErr w:type="spellEnd"/>
      <w:r w:rsidRPr="008F3E1D">
        <w:rPr>
          <w:rFonts w:ascii="Century Schoolbook" w:hAnsi="Century Schoolbook"/>
          <w:sz w:val="22"/>
          <w:szCs w:val="22"/>
        </w:rPr>
        <w:t>.</w:t>
      </w:r>
      <w:r>
        <w:rPr>
          <w:rStyle w:val="FootnoteReference"/>
          <w:rFonts w:ascii="Century Schoolbook" w:hAnsi="Century Schoolbook"/>
          <w:sz w:val="22"/>
          <w:szCs w:val="22"/>
        </w:rPr>
        <w:footnoteReference w:id="54"/>
      </w:r>
      <w:r w:rsidRPr="008F3E1D">
        <w:rPr>
          <w:rFonts w:ascii="Century Schoolbook" w:hAnsi="Century Schoolbook"/>
          <w:sz w:val="22"/>
          <w:szCs w:val="22"/>
        </w:rPr>
        <w:t xml:space="preserve"> </w:t>
      </w:r>
      <w:r>
        <w:rPr>
          <w:rFonts w:ascii="Century Schoolbook" w:hAnsi="Century Schoolbook"/>
          <w:sz w:val="22"/>
          <w:szCs w:val="22"/>
        </w:rPr>
        <w:t>An</w:t>
      </w:r>
      <w:r w:rsidRPr="008F3E1D">
        <w:rPr>
          <w:rFonts w:ascii="Century Schoolbook" w:hAnsi="Century Schoolbook"/>
          <w:sz w:val="22"/>
          <w:szCs w:val="22"/>
        </w:rPr>
        <w:t xml:space="preserve"> inclusive </w:t>
      </w:r>
      <w:r>
        <w:rPr>
          <w:rFonts w:ascii="Century Schoolbook" w:hAnsi="Century Schoolbook"/>
          <w:sz w:val="22"/>
          <w:szCs w:val="22"/>
        </w:rPr>
        <w:t>approach to</w:t>
      </w:r>
      <w:r w:rsidRPr="008F3E1D">
        <w:rPr>
          <w:rFonts w:ascii="Century Schoolbook" w:hAnsi="Century Schoolbook"/>
          <w:sz w:val="22"/>
          <w:szCs w:val="22"/>
        </w:rPr>
        <w:t xml:space="preserve"> leadership appointments helps </w:t>
      </w:r>
      <w:r>
        <w:rPr>
          <w:rFonts w:ascii="Century Schoolbook" w:hAnsi="Century Schoolbook"/>
          <w:sz w:val="22"/>
          <w:szCs w:val="22"/>
        </w:rPr>
        <w:t>avoid</w:t>
      </w:r>
      <w:r w:rsidRPr="008F3E1D">
        <w:rPr>
          <w:rFonts w:ascii="Century Schoolbook" w:hAnsi="Century Schoolbook"/>
          <w:sz w:val="22"/>
          <w:szCs w:val="22"/>
        </w:rPr>
        <w:t xml:space="preserve"> the “group think” that creeps into insular teams. Creativity increases with the introduction of outsiders.</w:t>
      </w:r>
      <w:r w:rsidRPr="008F3E1D">
        <w:rPr>
          <w:rStyle w:val="FootnoteReference"/>
          <w:rFonts w:ascii="Century Schoolbook" w:hAnsi="Century Schoolbook"/>
          <w:sz w:val="22"/>
          <w:szCs w:val="22"/>
        </w:rPr>
        <w:footnoteReference w:id="55"/>
      </w:r>
      <w:r w:rsidRPr="008F3E1D">
        <w:rPr>
          <w:rFonts w:ascii="Century Schoolbook" w:hAnsi="Century Schoolbook"/>
          <w:sz w:val="22"/>
          <w:szCs w:val="22"/>
        </w:rPr>
        <w:t xml:space="preserve">  </w:t>
      </w:r>
      <w:r>
        <w:rPr>
          <w:rFonts w:ascii="Century Schoolbook" w:hAnsi="Century Schoolbook"/>
          <w:sz w:val="22"/>
          <w:szCs w:val="22"/>
        </w:rPr>
        <w:t>T</w:t>
      </w:r>
      <w:r w:rsidRPr="008F3E1D">
        <w:rPr>
          <w:rFonts w:ascii="Century Schoolbook" w:hAnsi="Century Schoolbook"/>
          <w:sz w:val="22"/>
          <w:szCs w:val="22"/>
        </w:rPr>
        <w:t xml:space="preserve">hese </w:t>
      </w:r>
      <w:r w:rsidRPr="006E1157">
        <w:rPr>
          <w:rFonts w:ascii="Century Schoolbook" w:hAnsi="Century Schoolbook"/>
          <w:i/>
          <w:sz w:val="22"/>
          <w:szCs w:val="22"/>
        </w:rPr>
        <w:t>Guidelines and Best Practices</w:t>
      </w:r>
      <w:r>
        <w:rPr>
          <w:rFonts w:ascii="Century Schoolbook" w:hAnsi="Century Schoolbook"/>
          <w:i/>
          <w:sz w:val="22"/>
          <w:szCs w:val="22"/>
        </w:rPr>
        <w:t xml:space="preserve"> </w:t>
      </w:r>
      <w:r>
        <w:rPr>
          <w:rFonts w:ascii="Century Schoolbook" w:hAnsi="Century Schoolbook"/>
          <w:sz w:val="22"/>
          <w:szCs w:val="22"/>
        </w:rPr>
        <w:t>neither promote</w:t>
      </w:r>
      <w:r w:rsidRPr="008F3E1D">
        <w:rPr>
          <w:rFonts w:ascii="Century Schoolbook" w:hAnsi="Century Schoolbook"/>
          <w:sz w:val="22"/>
          <w:szCs w:val="22"/>
        </w:rPr>
        <w:t xml:space="preserve"> quotas </w:t>
      </w:r>
      <w:r>
        <w:rPr>
          <w:rFonts w:ascii="Century Schoolbook" w:hAnsi="Century Schoolbook"/>
          <w:sz w:val="22"/>
          <w:szCs w:val="22"/>
        </w:rPr>
        <w:t>n</w:t>
      </w:r>
      <w:r w:rsidRPr="008F3E1D">
        <w:rPr>
          <w:rFonts w:ascii="Century Schoolbook" w:hAnsi="Century Schoolbook"/>
          <w:sz w:val="22"/>
          <w:szCs w:val="22"/>
        </w:rPr>
        <w:t xml:space="preserve">or condone box-ticking: the gender or ethnic background of a person </w:t>
      </w:r>
      <w:r>
        <w:rPr>
          <w:rFonts w:ascii="Century Schoolbook" w:hAnsi="Century Schoolbook"/>
          <w:sz w:val="22"/>
          <w:szCs w:val="22"/>
        </w:rPr>
        <w:t>should</w:t>
      </w:r>
      <w:r w:rsidRPr="008F3E1D">
        <w:rPr>
          <w:rFonts w:ascii="Century Schoolbook" w:hAnsi="Century Schoolbook"/>
          <w:sz w:val="22"/>
          <w:szCs w:val="22"/>
        </w:rPr>
        <w:t xml:space="preserve"> not</w:t>
      </w:r>
      <w:r>
        <w:rPr>
          <w:rFonts w:ascii="Century Schoolbook" w:hAnsi="Century Schoolbook"/>
          <w:sz w:val="22"/>
          <w:szCs w:val="22"/>
        </w:rPr>
        <w:t xml:space="preserve"> be</w:t>
      </w:r>
      <w:r w:rsidRPr="008F3E1D">
        <w:rPr>
          <w:rFonts w:ascii="Century Schoolbook" w:hAnsi="Century Schoolbook"/>
          <w:sz w:val="22"/>
          <w:szCs w:val="22"/>
        </w:rPr>
        <w:t xml:space="preserve"> wholly determinative of </w:t>
      </w:r>
      <w:r>
        <w:rPr>
          <w:rFonts w:ascii="Century Schoolbook" w:hAnsi="Century Schoolbook"/>
          <w:sz w:val="22"/>
          <w:szCs w:val="22"/>
        </w:rPr>
        <w:t>one’s</w:t>
      </w:r>
      <w:r w:rsidRPr="008F3E1D">
        <w:rPr>
          <w:rFonts w:ascii="Century Schoolbook" w:hAnsi="Century Schoolbook"/>
          <w:sz w:val="22"/>
          <w:szCs w:val="22"/>
        </w:rPr>
        <w:t xml:space="preserve"> value to a leadership team. </w:t>
      </w:r>
      <w:r>
        <w:rPr>
          <w:rFonts w:ascii="Century Schoolbook" w:hAnsi="Century Schoolbook"/>
          <w:sz w:val="22"/>
          <w:szCs w:val="22"/>
        </w:rPr>
        <w:t>It is important to understand</w:t>
      </w:r>
      <w:r w:rsidRPr="008F3E1D">
        <w:rPr>
          <w:rFonts w:ascii="Century Schoolbook" w:hAnsi="Century Schoolbook"/>
          <w:sz w:val="22"/>
          <w:szCs w:val="22"/>
        </w:rPr>
        <w:t xml:space="preserve"> diversity</w:t>
      </w:r>
      <w:r>
        <w:rPr>
          <w:rFonts w:ascii="Century Schoolbook" w:hAnsi="Century Schoolbook"/>
          <w:sz w:val="22"/>
          <w:szCs w:val="22"/>
        </w:rPr>
        <w:t xml:space="preserve"> broadly, accounting for differences across experiences, values, education, and so forth. This diversity</w:t>
      </w:r>
      <w:r w:rsidRPr="008F3E1D">
        <w:rPr>
          <w:rFonts w:ascii="Century Schoolbook" w:hAnsi="Century Schoolbook"/>
          <w:sz w:val="22"/>
          <w:szCs w:val="22"/>
        </w:rPr>
        <w:t xml:space="preserve"> positively </w:t>
      </w:r>
      <w:r>
        <w:rPr>
          <w:rFonts w:ascii="Century Schoolbook" w:hAnsi="Century Schoolbook"/>
          <w:sz w:val="22"/>
          <w:szCs w:val="22"/>
        </w:rPr>
        <w:t>affects</w:t>
      </w:r>
      <w:r w:rsidRPr="008F3E1D">
        <w:rPr>
          <w:rFonts w:ascii="Century Schoolbook" w:hAnsi="Century Schoolbook"/>
          <w:sz w:val="22"/>
          <w:szCs w:val="22"/>
        </w:rPr>
        <w:t xml:space="preserve"> outcomes and should be sought after as well.</w:t>
      </w:r>
      <w:r w:rsidRPr="008F3E1D">
        <w:rPr>
          <w:rStyle w:val="FootnoteReference"/>
          <w:rFonts w:ascii="Century Schoolbook" w:hAnsi="Century Schoolbook"/>
          <w:sz w:val="22"/>
          <w:szCs w:val="22"/>
        </w:rPr>
        <w:footnoteReference w:id="56"/>
      </w:r>
    </w:p>
    <w:p w:rsidR="00625B3F" w:rsidRDefault="00625B3F" w:rsidP="00625B3F">
      <w:pPr>
        <w:spacing w:line="360" w:lineRule="auto"/>
        <w:ind w:firstLine="720"/>
        <w:rPr>
          <w:rFonts w:ascii="Century Schoolbook" w:hAnsi="Century Schoolbook"/>
          <w:sz w:val="22"/>
          <w:szCs w:val="22"/>
        </w:rPr>
      </w:pPr>
      <w:r w:rsidRPr="008F3E1D">
        <w:rPr>
          <w:rFonts w:ascii="Century Schoolbook" w:hAnsi="Century Schoolbook"/>
          <w:sz w:val="22"/>
          <w:szCs w:val="22"/>
        </w:rPr>
        <w:t xml:space="preserve">In developing diverse teams that are also productive, “critical mass” is important. A single woman lawyer (or a single lawyer of color) can easily be marginalized. The “rule of three” </w:t>
      </w:r>
      <w:r>
        <w:rPr>
          <w:rFonts w:ascii="Century Schoolbook" w:hAnsi="Century Schoolbook"/>
          <w:sz w:val="22"/>
          <w:szCs w:val="22"/>
        </w:rPr>
        <w:t>posits</w:t>
      </w:r>
      <w:r w:rsidRPr="008F3E1D">
        <w:rPr>
          <w:rFonts w:ascii="Century Schoolbook" w:hAnsi="Century Schoolbook"/>
          <w:sz w:val="22"/>
          <w:szCs w:val="22"/>
        </w:rPr>
        <w:t xml:space="preserve"> that until there are at least three members of the </w:t>
      </w:r>
      <w:proofErr w:type="spellStart"/>
      <w:r w:rsidRPr="008F3E1D">
        <w:rPr>
          <w:rFonts w:ascii="Century Schoolbook" w:hAnsi="Century Schoolbook"/>
          <w:sz w:val="22"/>
          <w:szCs w:val="22"/>
        </w:rPr>
        <w:t>nondominant</w:t>
      </w:r>
      <w:proofErr w:type="spellEnd"/>
      <w:r w:rsidRPr="008F3E1D">
        <w:rPr>
          <w:rFonts w:ascii="Century Schoolbook" w:hAnsi="Century Schoolbook"/>
          <w:sz w:val="22"/>
          <w:szCs w:val="22"/>
        </w:rPr>
        <w:t xml:space="preserve"> group present, the governing body (whether it be a corporate board, a committee, or otherwise) will not change. This is because when there is only a single member of the non-dominant group present, she typically will not speak up or, when she does, will be ignored. In contrast, when three or more women or multicultural professionals are in a room, they feel more empowered to speak up and engage in the conversation. They are also less likely to be sidelined.</w:t>
      </w:r>
    </w:p>
    <w:p w:rsidR="00625B3F" w:rsidRPr="008F3E1D" w:rsidRDefault="00625B3F" w:rsidP="00625B3F">
      <w:pPr>
        <w:spacing w:line="360" w:lineRule="auto"/>
        <w:ind w:firstLine="720"/>
        <w:rPr>
          <w:rFonts w:ascii="Century Schoolbook" w:hAnsi="Century Schoolbook"/>
          <w:sz w:val="22"/>
          <w:szCs w:val="22"/>
        </w:rPr>
      </w:pPr>
      <w:r w:rsidRPr="008F3E1D">
        <w:rPr>
          <w:rFonts w:ascii="Century Schoolbook" w:hAnsi="Century Schoolbook"/>
          <w:sz w:val="22"/>
          <w:szCs w:val="22"/>
        </w:rPr>
        <w:t xml:space="preserve">Fortunately, overt hostility towards women and diverse attorneys is on the wane. It is no longer acceptable to categorically exclude women and minorities from leadership positions. </w:t>
      </w:r>
      <w:r>
        <w:rPr>
          <w:rFonts w:ascii="Century Schoolbook" w:hAnsi="Century Schoolbook"/>
          <w:sz w:val="22"/>
          <w:szCs w:val="22"/>
        </w:rPr>
        <w:t>I</w:t>
      </w:r>
      <w:r w:rsidRPr="008F3E1D">
        <w:rPr>
          <w:rFonts w:ascii="Century Schoolbook" w:hAnsi="Century Schoolbook"/>
          <w:sz w:val="22"/>
          <w:szCs w:val="22"/>
        </w:rPr>
        <w:t>mplicit bias (also referred to as “second</w:t>
      </w:r>
      <w:r>
        <w:rPr>
          <w:rFonts w:ascii="Century Schoolbook" w:hAnsi="Century Schoolbook"/>
          <w:sz w:val="22"/>
          <w:szCs w:val="22"/>
        </w:rPr>
        <w:t>-</w:t>
      </w:r>
      <w:r w:rsidRPr="008F3E1D">
        <w:rPr>
          <w:rFonts w:ascii="Century Schoolbook" w:hAnsi="Century Schoolbook"/>
          <w:sz w:val="22"/>
          <w:szCs w:val="22"/>
        </w:rPr>
        <w:t>generation discrimination”)</w:t>
      </w:r>
      <w:r>
        <w:rPr>
          <w:rFonts w:ascii="Century Schoolbook" w:hAnsi="Century Schoolbook"/>
          <w:sz w:val="22"/>
          <w:szCs w:val="22"/>
        </w:rPr>
        <w:t>, however,</w:t>
      </w:r>
      <w:r w:rsidRPr="008F3E1D">
        <w:rPr>
          <w:rFonts w:ascii="Century Schoolbook" w:hAnsi="Century Schoolbook"/>
          <w:sz w:val="22"/>
          <w:szCs w:val="22"/>
        </w:rPr>
        <w:t xml:space="preserve"> persists in all of us, and </w:t>
      </w:r>
      <w:r>
        <w:rPr>
          <w:rFonts w:ascii="Century Schoolbook" w:hAnsi="Century Schoolbook"/>
          <w:sz w:val="22"/>
          <w:szCs w:val="22"/>
        </w:rPr>
        <w:t xml:space="preserve">it </w:t>
      </w:r>
      <w:r w:rsidRPr="008F3E1D">
        <w:rPr>
          <w:rFonts w:ascii="Century Schoolbook" w:hAnsi="Century Schoolbook"/>
          <w:sz w:val="22"/>
          <w:szCs w:val="22"/>
        </w:rPr>
        <w:t xml:space="preserve">is likely to blame for some of the reluctance to place women and diverse attorneys </w:t>
      </w:r>
      <w:r>
        <w:rPr>
          <w:rFonts w:ascii="Century Schoolbook" w:hAnsi="Century Schoolbook"/>
          <w:sz w:val="22"/>
          <w:szCs w:val="22"/>
        </w:rPr>
        <w:t>to</w:t>
      </w:r>
      <w:r w:rsidRPr="008F3E1D">
        <w:rPr>
          <w:rFonts w:ascii="Century Schoolbook" w:hAnsi="Century Schoolbook"/>
          <w:sz w:val="22"/>
          <w:szCs w:val="22"/>
        </w:rPr>
        <w:t xml:space="preserve"> positions of power in complex litigation.</w:t>
      </w:r>
      <w:r>
        <w:rPr>
          <w:rStyle w:val="FootnoteReference"/>
          <w:rFonts w:ascii="Century Schoolbook" w:hAnsi="Century Schoolbook"/>
          <w:sz w:val="22"/>
          <w:szCs w:val="22"/>
        </w:rPr>
        <w:footnoteReference w:id="57"/>
      </w:r>
      <w:r w:rsidRPr="008F3E1D">
        <w:rPr>
          <w:rFonts w:ascii="Century Schoolbook" w:hAnsi="Century Schoolbook"/>
          <w:sz w:val="22"/>
          <w:szCs w:val="22"/>
        </w:rPr>
        <w:t xml:space="preserve"> Second</w:t>
      </w:r>
      <w:r>
        <w:rPr>
          <w:rFonts w:ascii="Century Schoolbook" w:hAnsi="Century Schoolbook"/>
          <w:sz w:val="22"/>
          <w:szCs w:val="22"/>
        </w:rPr>
        <w:t>-</w:t>
      </w:r>
      <w:r w:rsidRPr="008F3E1D">
        <w:rPr>
          <w:rFonts w:ascii="Century Schoolbook" w:hAnsi="Century Schoolbook"/>
          <w:sz w:val="22"/>
          <w:szCs w:val="22"/>
        </w:rPr>
        <w:t>generation discrimination should be understood and resisted by the judiciary.</w:t>
      </w:r>
      <w:r>
        <w:rPr>
          <w:rStyle w:val="FootnoteReference"/>
          <w:rFonts w:ascii="Century Schoolbook" w:hAnsi="Century Schoolbook"/>
          <w:sz w:val="22"/>
          <w:szCs w:val="22"/>
        </w:rPr>
        <w:footnoteReference w:id="58"/>
      </w:r>
      <w:r w:rsidRPr="008F3E1D">
        <w:rPr>
          <w:rFonts w:ascii="Century Schoolbook" w:hAnsi="Century Schoolbook"/>
          <w:sz w:val="22"/>
          <w:szCs w:val="22"/>
        </w:rPr>
        <w:t xml:space="preserve"> </w:t>
      </w:r>
    </w:p>
    <w:p w:rsidR="00625B3F" w:rsidRDefault="00625B3F" w:rsidP="00625B3F">
      <w:pPr>
        <w:spacing w:line="360" w:lineRule="auto"/>
        <w:ind w:firstLine="360"/>
        <w:rPr>
          <w:rFonts w:ascii="Century Schoolbook" w:hAnsi="Century Schoolbook"/>
          <w:sz w:val="22"/>
          <w:szCs w:val="22"/>
        </w:rPr>
      </w:pPr>
      <w:r w:rsidRPr="008F3E1D">
        <w:rPr>
          <w:rFonts w:ascii="Century Schoolbook" w:hAnsi="Century Schoolbook"/>
          <w:sz w:val="22"/>
          <w:szCs w:val="22"/>
        </w:rPr>
        <w:t>Recognizing the need for increased inclusion in judicial appointments, in 2016, the National Association of Women Judges</w:t>
      </w:r>
      <w:r>
        <w:rPr>
          <w:rFonts w:ascii="Century Schoolbook" w:hAnsi="Century Schoolbook"/>
          <w:sz w:val="22"/>
          <w:szCs w:val="22"/>
        </w:rPr>
        <w:t xml:space="preserve"> (NAWJ)</w:t>
      </w:r>
      <w:r w:rsidRPr="008F3E1D">
        <w:rPr>
          <w:rFonts w:ascii="Century Schoolbook" w:hAnsi="Century Schoolbook"/>
          <w:sz w:val="22"/>
          <w:szCs w:val="22"/>
        </w:rPr>
        <w:t>, under the leadership of NAWJ President Hon. Lisa Walsh</w:t>
      </w:r>
      <w:r>
        <w:rPr>
          <w:rFonts w:ascii="Century Schoolbook" w:hAnsi="Century Schoolbook"/>
          <w:sz w:val="22"/>
          <w:szCs w:val="22"/>
        </w:rPr>
        <w:t>,</w:t>
      </w:r>
      <w:r w:rsidRPr="008F3E1D">
        <w:rPr>
          <w:rFonts w:ascii="Century Schoolbook" w:hAnsi="Century Schoolbook"/>
          <w:sz w:val="22"/>
          <w:szCs w:val="22"/>
        </w:rPr>
        <w:t xml:space="preserve"> adopted a “Resolution on Diversity in Trial Court Appointments.” The Resolution acknowledges that trial courts have not appointed women lawyers, </w:t>
      </w:r>
      <w:r>
        <w:rPr>
          <w:rFonts w:ascii="Century Schoolbook" w:hAnsi="Century Schoolbook"/>
          <w:sz w:val="22"/>
          <w:szCs w:val="22"/>
        </w:rPr>
        <w:t>diverse</w:t>
      </w:r>
      <w:r w:rsidRPr="008F3E1D">
        <w:rPr>
          <w:rFonts w:ascii="Century Schoolbook" w:hAnsi="Century Schoolbook"/>
          <w:sz w:val="22"/>
          <w:szCs w:val="22"/>
        </w:rPr>
        <w:t xml:space="preserve"> lawyers and lawyers in small firms in numbers commensurate with their representation in the legal profession generally and urges that trial courts, both federal and state, “should be mindful of the importance of diversity and should make appointments that are consistent with the diversity of our society and the justice system.” The same Resolution has been adopted by the American Association for Justice, the Defense Research Institute, the Federation of Defense and Corporate Counsel, the Association of Defense Trial Attorneys, the Hispanic National Bar Association, and the Conference of Chief Justices.</w:t>
      </w:r>
      <w:r w:rsidRPr="008F3E1D">
        <w:rPr>
          <w:rStyle w:val="FootnoteReference"/>
          <w:rFonts w:ascii="Century Schoolbook" w:hAnsi="Century Schoolbook"/>
          <w:sz w:val="22"/>
          <w:szCs w:val="22"/>
        </w:rPr>
        <w:footnoteReference w:id="59"/>
      </w:r>
    </w:p>
    <w:p w:rsidR="00625B3F" w:rsidRPr="008F3E1D" w:rsidRDefault="00625B3F" w:rsidP="00625B3F">
      <w:pPr>
        <w:spacing w:line="360" w:lineRule="auto"/>
        <w:ind w:firstLine="360"/>
        <w:rPr>
          <w:rFonts w:ascii="Century Schoolbook" w:hAnsi="Century Schoolbook"/>
          <w:sz w:val="22"/>
          <w:szCs w:val="22"/>
        </w:rPr>
      </w:pPr>
    </w:p>
    <w:p w:rsidR="00625B3F" w:rsidRPr="003E0FAD" w:rsidRDefault="00625B3F" w:rsidP="00625B3F">
      <w:pPr>
        <w:pStyle w:val="ListParagraph"/>
        <w:numPr>
          <w:ilvl w:val="0"/>
          <w:numId w:val="4"/>
        </w:numPr>
        <w:spacing w:line="360" w:lineRule="auto"/>
        <w:rPr>
          <w:rStyle w:val="IntenseEmphasis"/>
          <w:rFonts w:ascii="Century Schoolbook" w:hAnsi="Century Schoolbook"/>
          <w:b/>
          <w:i w:val="0"/>
          <w:color w:val="000000" w:themeColor="text1"/>
          <w:sz w:val="22"/>
          <w:szCs w:val="22"/>
        </w:rPr>
      </w:pPr>
      <w:r>
        <w:rPr>
          <w:rStyle w:val="IntenseEmphasis"/>
          <w:rFonts w:ascii="Century Schoolbook" w:hAnsi="Century Schoolbook"/>
          <w:b/>
          <w:color w:val="000000" w:themeColor="text1"/>
          <w:sz w:val="22"/>
          <w:szCs w:val="22"/>
        </w:rPr>
        <w:t xml:space="preserve">Stating the Law -- </w:t>
      </w:r>
      <w:r w:rsidRPr="003E0FAD">
        <w:rPr>
          <w:rStyle w:val="IntenseEmphasis"/>
          <w:rFonts w:ascii="Century Schoolbook" w:hAnsi="Century Schoolbook"/>
          <w:b/>
          <w:color w:val="000000" w:themeColor="text1"/>
          <w:sz w:val="22"/>
          <w:szCs w:val="22"/>
        </w:rPr>
        <w:t>Applicable Standards Governing Leadership Appointments</w:t>
      </w:r>
    </w:p>
    <w:p w:rsidR="00625B3F" w:rsidRPr="003E0FAD" w:rsidRDefault="00625B3F" w:rsidP="00625B3F">
      <w:pPr>
        <w:pStyle w:val="ListParagraph"/>
        <w:numPr>
          <w:ilvl w:val="0"/>
          <w:numId w:val="1"/>
        </w:numPr>
        <w:spacing w:line="360" w:lineRule="auto"/>
        <w:ind w:left="540"/>
        <w:rPr>
          <w:rStyle w:val="IntenseEmphasis"/>
          <w:rFonts w:ascii="Century Schoolbook" w:hAnsi="Century Schoolbook"/>
          <w:b/>
          <w:i w:val="0"/>
          <w:color w:val="000000" w:themeColor="text1"/>
          <w:sz w:val="22"/>
          <w:szCs w:val="22"/>
        </w:rPr>
      </w:pPr>
      <w:r w:rsidRPr="003E0FAD">
        <w:rPr>
          <w:rStyle w:val="IntenseEmphasis"/>
          <w:rFonts w:ascii="Century Schoolbook" w:hAnsi="Century Schoolbook"/>
          <w:b/>
          <w:color w:val="000000" w:themeColor="text1"/>
          <w:sz w:val="22"/>
          <w:szCs w:val="22"/>
        </w:rPr>
        <w:t>Complex-Litigation Structures</w:t>
      </w:r>
    </w:p>
    <w:p w:rsidR="00625B3F" w:rsidRPr="008F3E1D" w:rsidRDefault="00625B3F" w:rsidP="00625B3F">
      <w:pPr>
        <w:spacing w:line="360" w:lineRule="auto"/>
        <w:ind w:firstLine="720"/>
        <w:rPr>
          <w:rStyle w:val="IntenseEmphasis"/>
          <w:rFonts w:ascii="Century Schoolbook" w:hAnsi="Century Schoolbook"/>
          <w:i w:val="0"/>
          <w:color w:val="000000" w:themeColor="text1"/>
          <w:sz w:val="22"/>
          <w:szCs w:val="22"/>
        </w:rPr>
      </w:pPr>
      <w:r w:rsidRPr="008F3E1D">
        <w:rPr>
          <w:rStyle w:val="IntenseEmphasis"/>
          <w:rFonts w:ascii="Century Schoolbook" w:hAnsi="Century Schoolbook"/>
          <w:color w:val="000000" w:themeColor="text1"/>
          <w:sz w:val="22"/>
          <w:szCs w:val="22"/>
        </w:rPr>
        <w:t>To determine how best to increase diversity in the leadership of mass torts and class actions, it is important to understand some significant differences between class actions and mass torts.  First, and most fundamentally, in a class action, one or more plaintiff representatives is appointed by the court to represent the entirety of interests of absent class members.  Absent class members’ claims thus rise or fall together with those of the class representatives.</w:t>
      </w:r>
      <w:r w:rsidRPr="008F3E1D">
        <w:rPr>
          <w:rStyle w:val="FootnoteReference"/>
          <w:rFonts w:ascii="Century Schoolbook" w:hAnsi="Century Schoolbook"/>
          <w:iCs/>
          <w:color w:val="000000" w:themeColor="text1"/>
          <w:sz w:val="22"/>
          <w:szCs w:val="22"/>
        </w:rPr>
        <w:footnoteReference w:id="60"/>
      </w:r>
      <w:r w:rsidRPr="008F3E1D">
        <w:rPr>
          <w:rStyle w:val="IntenseEmphasis"/>
          <w:rFonts w:ascii="Century Schoolbook" w:hAnsi="Century Schoolbook"/>
          <w:color w:val="000000" w:themeColor="text1"/>
          <w:sz w:val="22"/>
          <w:szCs w:val="22"/>
        </w:rPr>
        <w:t xml:space="preserve">  In a mass tort, in contrast, while some aspects of the claim may be litigated on behalf of a group of plaintiffs, each plaintiff must ultimately prove his or her claim and each plaintiff has retained an attorney for representation.  As a result, it is possible – and usually desirable – to appoint a much smaller number of lawyers to lead a class action than a mass tort, in which there may be hundreds or thousands of individual claims.</w:t>
      </w:r>
    </w:p>
    <w:p w:rsidR="00625B3F" w:rsidRPr="003E0FAD" w:rsidRDefault="00625B3F" w:rsidP="00625B3F">
      <w:pPr>
        <w:pStyle w:val="ListParagraph"/>
        <w:numPr>
          <w:ilvl w:val="0"/>
          <w:numId w:val="2"/>
        </w:numPr>
        <w:spacing w:line="360" w:lineRule="auto"/>
        <w:rPr>
          <w:rStyle w:val="IntenseEmphasis"/>
          <w:rFonts w:ascii="Century Schoolbook" w:hAnsi="Century Schoolbook"/>
          <w:b/>
          <w:i w:val="0"/>
          <w:color w:val="000000" w:themeColor="text1"/>
          <w:sz w:val="22"/>
          <w:szCs w:val="22"/>
        </w:rPr>
      </w:pPr>
      <w:r w:rsidRPr="003E0FAD">
        <w:rPr>
          <w:rStyle w:val="IntenseEmphasis"/>
          <w:rFonts w:ascii="Century Schoolbook" w:hAnsi="Century Schoolbook"/>
          <w:b/>
          <w:color w:val="000000" w:themeColor="text1"/>
          <w:sz w:val="22"/>
          <w:szCs w:val="22"/>
        </w:rPr>
        <w:t>Mass Tort MDL</w:t>
      </w:r>
    </w:p>
    <w:p w:rsidR="00625B3F" w:rsidRPr="008F3E1D" w:rsidRDefault="00625B3F" w:rsidP="00625B3F">
      <w:pPr>
        <w:spacing w:line="360" w:lineRule="auto"/>
        <w:ind w:firstLine="720"/>
        <w:rPr>
          <w:rFonts w:ascii="Century Schoolbook" w:hAnsi="Century Schoolbook"/>
          <w:iCs/>
          <w:color w:val="000000" w:themeColor="text1"/>
          <w:sz w:val="22"/>
          <w:szCs w:val="22"/>
        </w:rPr>
      </w:pPr>
      <w:r w:rsidRPr="008F3E1D">
        <w:rPr>
          <w:rStyle w:val="IntenseEmphasis"/>
          <w:rFonts w:ascii="Century Schoolbook" w:hAnsi="Century Schoolbook"/>
          <w:color w:val="000000" w:themeColor="text1"/>
          <w:sz w:val="22"/>
          <w:szCs w:val="22"/>
        </w:rPr>
        <w:t>A mass tort litigation “emerges when an event or series of related events injure a large number of people or damage their property.”</w:t>
      </w:r>
      <w:r>
        <w:rPr>
          <w:rStyle w:val="FootnoteReference"/>
          <w:rFonts w:ascii="Century Schoolbook" w:hAnsi="Century Schoolbook"/>
          <w:iCs/>
          <w:color w:val="000000" w:themeColor="text1"/>
          <w:sz w:val="22"/>
          <w:szCs w:val="22"/>
        </w:rPr>
        <w:footnoteReference w:id="61"/>
      </w:r>
      <w:r w:rsidRPr="008F3E1D">
        <w:rPr>
          <w:rStyle w:val="IntenseEmphasis"/>
          <w:rFonts w:ascii="Century Schoolbook" w:hAnsi="Century Schoolbook"/>
          <w:color w:val="000000" w:themeColor="text1"/>
          <w:sz w:val="22"/>
          <w:szCs w:val="22"/>
        </w:rPr>
        <w:t xml:space="preserve"> </w:t>
      </w:r>
      <w:r w:rsidRPr="008F3E1D">
        <w:rPr>
          <w:rFonts w:ascii="Century Schoolbook" w:hAnsi="Century Schoolbook"/>
          <w:iCs/>
          <w:color w:val="000000" w:themeColor="text1"/>
          <w:sz w:val="22"/>
          <w:szCs w:val="22"/>
        </w:rPr>
        <w:t>Related tort cases can be aggregated in a single federal judicial district pursuant to 28 U.S.C.</w:t>
      </w:r>
      <w:r>
        <w:rPr>
          <w:rFonts w:ascii="Century Schoolbook" w:hAnsi="Century Schoolbook"/>
          <w:iCs/>
          <w:color w:val="000000" w:themeColor="text1"/>
          <w:sz w:val="22"/>
          <w:szCs w:val="22"/>
        </w:rPr>
        <w:t xml:space="preserve"> §</w:t>
      </w:r>
      <w:r w:rsidRPr="008F3E1D">
        <w:rPr>
          <w:rFonts w:ascii="Century Schoolbook" w:hAnsi="Century Schoolbook"/>
          <w:iCs/>
          <w:color w:val="000000" w:themeColor="text1"/>
          <w:sz w:val="22"/>
          <w:szCs w:val="22"/>
        </w:rPr>
        <w:t xml:space="preserve"> 1407(a)</w:t>
      </w:r>
      <w:r>
        <w:rPr>
          <w:rFonts w:ascii="Century Schoolbook" w:hAnsi="Century Schoolbook"/>
          <w:iCs/>
          <w:color w:val="000000" w:themeColor="text1"/>
          <w:sz w:val="22"/>
          <w:szCs w:val="22"/>
        </w:rPr>
        <w:t>,</w:t>
      </w:r>
      <w:r w:rsidRPr="008F3E1D">
        <w:rPr>
          <w:rFonts w:ascii="Century Schoolbook" w:hAnsi="Century Schoolbook"/>
          <w:iCs/>
          <w:color w:val="000000" w:themeColor="text1"/>
          <w:sz w:val="22"/>
          <w:szCs w:val="22"/>
        </w:rPr>
        <w:t xml:space="preserve"> in a single state court pursuant to state coordination rules and statutes, or coordinated across state and federal courts (usually informally).  In all of these situations, courts typically appoint lead counsel to coordinate discovery and other pretrial preparation.  </w:t>
      </w:r>
    </w:p>
    <w:p w:rsidR="00625B3F" w:rsidRPr="008F3E1D" w:rsidRDefault="00625B3F" w:rsidP="00625B3F">
      <w:pPr>
        <w:spacing w:line="360" w:lineRule="auto"/>
        <w:ind w:firstLine="720"/>
        <w:rPr>
          <w:rFonts w:ascii="Century Schoolbook" w:hAnsi="Century Schoolbook"/>
          <w:iCs/>
          <w:color w:val="000000" w:themeColor="text1"/>
          <w:sz w:val="22"/>
          <w:szCs w:val="22"/>
        </w:rPr>
      </w:pPr>
      <w:r w:rsidRPr="008F3E1D">
        <w:rPr>
          <w:rFonts w:ascii="Century Schoolbook" w:hAnsi="Century Schoolbook"/>
          <w:iCs/>
          <w:color w:val="000000" w:themeColor="text1"/>
          <w:sz w:val="22"/>
          <w:szCs w:val="22"/>
        </w:rPr>
        <w:t xml:space="preserve">Unless the action qualifies for class action treatment, there is no federal rule requiring the appointment of lead counsel or a committee of counsel to manage mass tort litigation.  There are several reference sources, however, the most important of which is the </w:t>
      </w:r>
      <w:r w:rsidRPr="008F3E1D">
        <w:rPr>
          <w:rFonts w:ascii="Century Schoolbook" w:hAnsi="Century Schoolbook"/>
          <w:i/>
          <w:iCs/>
          <w:color w:val="000000" w:themeColor="text1"/>
          <w:sz w:val="22"/>
          <w:szCs w:val="22"/>
        </w:rPr>
        <w:t>Manual</w:t>
      </w:r>
      <w:r w:rsidRPr="008F3E1D">
        <w:rPr>
          <w:rFonts w:ascii="Century Schoolbook" w:hAnsi="Century Schoolbook"/>
          <w:iCs/>
          <w:color w:val="000000" w:themeColor="text1"/>
          <w:sz w:val="22"/>
          <w:szCs w:val="22"/>
        </w:rPr>
        <w:t xml:space="preserve">, which recommends such appointment.  The </w:t>
      </w:r>
      <w:r w:rsidRPr="008F3E1D">
        <w:rPr>
          <w:rFonts w:ascii="Century Schoolbook" w:hAnsi="Century Schoolbook"/>
          <w:i/>
          <w:iCs/>
          <w:color w:val="000000" w:themeColor="text1"/>
          <w:sz w:val="22"/>
          <w:szCs w:val="22"/>
        </w:rPr>
        <w:t>Manual</w:t>
      </w:r>
      <w:r w:rsidRPr="008F3E1D">
        <w:rPr>
          <w:rFonts w:ascii="Century Schoolbook" w:hAnsi="Century Schoolbook"/>
          <w:iCs/>
          <w:color w:val="000000" w:themeColor="text1"/>
          <w:sz w:val="22"/>
          <w:szCs w:val="22"/>
        </w:rPr>
        <w:t xml:space="preserve"> states: </w:t>
      </w:r>
    </w:p>
    <w:p w:rsidR="00625B3F" w:rsidRPr="008F3E1D" w:rsidRDefault="00625B3F" w:rsidP="00625B3F">
      <w:pPr>
        <w:spacing w:line="360" w:lineRule="auto"/>
        <w:ind w:left="720"/>
        <w:rPr>
          <w:rFonts w:ascii="Century Schoolbook" w:hAnsi="Century Schoolbook"/>
          <w:iCs/>
          <w:color w:val="000000" w:themeColor="text1"/>
          <w:sz w:val="22"/>
          <w:szCs w:val="22"/>
        </w:rPr>
      </w:pPr>
      <w:r w:rsidRPr="008F3E1D">
        <w:rPr>
          <w:rFonts w:ascii="Century Schoolbook" w:hAnsi="Century Schoolbook"/>
          <w:iCs/>
          <w:color w:val="000000" w:themeColor="text1"/>
          <w:sz w:val="22"/>
          <w:szCs w:val="22"/>
        </w:rPr>
        <w:t>Where several counsel are competing to be lead counsel or to serve on a key liaison committee, the court should establish a procedure for attorneys to present their qualifications, including their experience in managing complex litigation and knowledge of the subject matter, their efforts in researching and investigating the claims before the court, and the resources that they can contribute to the litigation. Often counsel will agree among themselves as to who should serve as lead counsel or assume responsible positions on counsel committees; but the judge must be satisfied that counsel can perform the assigned roles and that they have not entered into improper arrangements to secure such positions. Including plaintiffs’ attorneys with different perspectives and experience in lead or liaison counsel or as committee members can be helpful. Consider also including counsel handling significant numbers of state cases to facilitate coordination among state and federal cases. Section 20.31 discusses steps that judges can take in organizing counsel to help coordinate cases among state and federal courts, emphasizing the need to include attorneys involved in cases needing coordinated efforts.</w:t>
      </w:r>
      <w:r>
        <w:rPr>
          <w:rStyle w:val="FootnoteReference"/>
          <w:rFonts w:ascii="Century Schoolbook" w:hAnsi="Century Schoolbook"/>
          <w:iCs/>
          <w:color w:val="000000" w:themeColor="text1"/>
          <w:sz w:val="22"/>
          <w:szCs w:val="22"/>
        </w:rPr>
        <w:footnoteReference w:id="62"/>
      </w:r>
    </w:p>
    <w:p w:rsidR="00625B3F" w:rsidRPr="003E0FAD" w:rsidRDefault="00625B3F" w:rsidP="00625B3F">
      <w:pPr>
        <w:pStyle w:val="ListParagraph"/>
        <w:numPr>
          <w:ilvl w:val="0"/>
          <w:numId w:val="2"/>
        </w:numPr>
        <w:spacing w:line="360" w:lineRule="auto"/>
        <w:rPr>
          <w:rStyle w:val="IntenseEmphasis"/>
          <w:rFonts w:ascii="Century Schoolbook" w:hAnsi="Century Schoolbook"/>
          <w:b/>
          <w:i w:val="0"/>
          <w:color w:val="000000" w:themeColor="text1"/>
          <w:sz w:val="22"/>
          <w:szCs w:val="22"/>
        </w:rPr>
      </w:pPr>
      <w:r w:rsidRPr="003E0FAD">
        <w:rPr>
          <w:rStyle w:val="IntenseEmphasis"/>
          <w:rFonts w:ascii="Century Schoolbook" w:hAnsi="Century Schoolbook"/>
          <w:b/>
          <w:color w:val="000000" w:themeColor="text1"/>
          <w:sz w:val="22"/>
          <w:szCs w:val="22"/>
        </w:rPr>
        <w:t>Class Actions</w:t>
      </w:r>
    </w:p>
    <w:p w:rsidR="00625B3F" w:rsidRPr="008F3E1D" w:rsidRDefault="00625B3F" w:rsidP="00625B3F">
      <w:pPr>
        <w:spacing w:line="360" w:lineRule="auto"/>
        <w:ind w:firstLine="720"/>
        <w:rPr>
          <w:rStyle w:val="IntenseEmphasis"/>
          <w:rFonts w:ascii="Century Schoolbook" w:hAnsi="Century Schoolbook"/>
          <w:i w:val="0"/>
          <w:color w:val="000000" w:themeColor="text1"/>
          <w:sz w:val="22"/>
          <w:szCs w:val="22"/>
        </w:rPr>
      </w:pPr>
      <w:r w:rsidRPr="008F3E1D">
        <w:rPr>
          <w:rStyle w:val="IntenseEmphasis"/>
          <w:rFonts w:ascii="Century Schoolbook" w:hAnsi="Century Schoolbook"/>
          <w:color w:val="000000" w:themeColor="text1"/>
          <w:sz w:val="22"/>
          <w:szCs w:val="22"/>
        </w:rPr>
        <w:t xml:space="preserve">In contrast to mass torts, in class actions a court </w:t>
      </w:r>
      <w:r w:rsidRPr="003541F9">
        <w:rPr>
          <w:rStyle w:val="IntenseEmphasis"/>
          <w:rFonts w:ascii="Century Schoolbook" w:hAnsi="Century Schoolbook"/>
          <w:color w:val="000000" w:themeColor="text1"/>
          <w:sz w:val="22"/>
          <w:szCs w:val="22"/>
        </w:rPr>
        <w:t>must</w:t>
      </w:r>
      <w:r w:rsidRPr="008F3E1D">
        <w:rPr>
          <w:rStyle w:val="IntenseEmphasis"/>
          <w:rFonts w:ascii="Century Schoolbook" w:hAnsi="Century Schoolbook"/>
          <w:color w:val="000000" w:themeColor="text1"/>
          <w:sz w:val="22"/>
          <w:szCs w:val="22"/>
        </w:rPr>
        <w:t xml:space="preserve"> appoint class counsel when it certifies a class, unless a statute provides otherwise.</w:t>
      </w:r>
      <w:r>
        <w:rPr>
          <w:rStyle w:val="FootnoteReference"/>
          <w:rFonts w:ascii="Century Schoolbook" w:hAnsi="Century Schoolbook"/>
          <w:iCs/>
          <w:color w:val="000000" w:themeColor="text1"/>
          <w:sz w:val="22"/>
          <w:szCs w:val="22"/>
        </w:rPr>
        <w:footnoteReference w:id="63"/>
      </w:r>
      <w:r w:rsidRPr="008F3E1D">
        <w:rPr>
          <w:rStyle w:val="IntenseEmphasis"/>
          <w:rFonts w:ascii="Century Schoolbook" w:hAnsi="Century Schoolbook"/>
          <w:color w:val="000000" w:themeColor="text1"/>
          <w:sz w:val="22"/>
          <w:szCs w:val="22"/>
        </w:rPr>
        <w:t xml:space="preserve">  While Rule 23(g) by its terms applies at the class certification stage of the litigation, federal courts almost invariably appoint lead counsel – referred to as “interim lead counsel” </w:t>
      </w:r>
      <w:r>
        <w:rPr>
          <w:rStyle w:val="IntenseEmphasis"/>
          <w:rFonts w:ascii="Century Schoolbook" w:hAnsi="Century Schoolbook"/>
          <w:color w:val="000000" w:themeColor="text1"/>
          <w:sz w:val="22"/>
          <w:szCs w:val="22"/>
        </w:rPr>
        <w:t>–</w:t>
      </w:r>
      <w:r w:rsidRPr="008F3E1D">
        <w:rPr>
          <w:rStyle w:val="IntenseEmphasis"/>
          <w:rFonts w:ascii="Century Schoolbook" w:hAnsi="Century Schoolbook"/>
          <w:color w:val="000000" w:themeColor="text1"/>
          <w:sz w:val="22"/>
          <w:szCs w:val="22"/>
        </w:rPr>
        <w:t xml:space="preserve"> much earlier, usually before the consolidated complaint is filed.</w:t>
      </w:r>
      <w:r>
        <w:rPr>
          <w:rStyle w:val="FootnoteReference"/>
          <w:rFonts w:ascii="Century Schoolbook" w:hAnsi="Century Schoolbook"/>
          <w:iCs/>
          <w:color w:val="000000" w:themeColor="text1"/>
          <w:sz w:val="22"/>
          <w:szCs w:val="22"/>
        </w:rPr>
        <w:footnoteReference w:id="64"/>
      </w:r>
      <w:r w:rsidRPr="008F3E1D">
        <w:rPr>
          <w:rStyle w:val="IntenseEmphasis"/>
          <w:rFonts w:ascii="Century Schoolbook" w:hAnsi="Century Schoolbook"/>
          <w:color w:val="000000" w:themeColor="text1"/>
          <w:sz w:val="22"/>
          <w:szCs w:val="22"/>
        </w:rPr>
        <w:t xml:space="preserve">  Particularly in the wake of recent decisions requiring plaintiffs to present much more evidence at the class certification stage, this early appointment makes eminent sense, as the class motion is filed late in the case after the consolidated amended complaint is filed, after motions to dismiss are decided, and usually after most discovery is completed.</w:t>
      </w:r>
    </w:p>
    <w:p w:rsidR="00625B3F" w:rsidRPr="008F3E1D" w:rsidRDefault="00625B3F" w:rsidP="00625B3F">
      <w:pPr>
        <w:spacing w:line="360" w:lineRule="auto"/>
        <w:ind w:firstLine="720"/>
        <w:rPr>
          <w:rFonts w:ascii="Century Schoolbook" w:hAnsi="Century Schoolbook"/>
          <w:iCs/>
          <w:color w:val="000000" w:themeColor="text1"/>
          <w:sz w:val="22"/>
          <w:szCs w:val="22"/>
          <w:lang w:val="en"/>
        </w:rPr>
      </w:pPr>
      <w:r w:rsidRPr="008F3E1D">
        <w:rPr>
          <w:rStyle w:val="IntenseEmphasis"/>
          <w:rFonts w:ascii="Century Schoolbook" w:hAnsi="Century Schoolbook"/>
          <w:color w:val="000000" w:themeColor="text1"/>
          <w:sz w:val="22"/>
          <w:szCs w:val="22"/>
        </w:rPr>
        <w:t xml:space="preserve">Rule 23(g) sets out the criteria for appointing lead counsel.  </w:t>
      </w:r>
      <w:r>
        <w:rPr>
          <w:rStyle w:val="IntenseEmphasis"/>
          <w:rFonts w:ascii="Century Schoolbook" w:hAnsi="Century Schoolbook"/>
          <w:color w:val="000000" w:themeColor="text1"/>
          <w:sz w:val="22"/>
          <w:szCs w:val="22"/>
        </w:rPr>
        <w:t>A</w:t>
      </w:r>
      <w:r w:rsidRPr="008F3E1D">
        <w:rPr>
          <w:rFonts w:ascii="Century Schoolbook" w:hAnsi="Century Schoolbook"/>
          <w:iCs/>
          <w:color w:val="000000" w:themeColor="text1"/>
          <w:sz w:val="22"/>
          <w:szCs w:val="22"/>
          <w:lang w:val="en"/>
        </w:rPr>
        <w:t xml:space="preserve"> court “</w:t>
      </w:r>
      <w:r w:rsidRPr="008F3E1D">
        <w:rPr>
          <w:rFonts w:ascii="Century Schoolbook" w:hAnsi="Century Schoolbook"/>
          <w:b/>
          <w:i/>
          <w:iCs/>
          <w:color w:val="000000" w:themeColor="text1"/>
          <w:sz w:val="22"/>
          <w:szCs w:val="22"/>
          <w:lang w:val="en"/>
        </w:rPr>
        <w:t>must</w:t>
      </w:r>
      <w:r w:rsidRPr="008F3E1D">
        <w:rPr>
          <w:rFonts w:ascii="Century Schoolbook" w:hAnsi="Century Schoolbook"/>
          <w:iCs/>
          <w:color w:val="000000" w:themeColor="text1"/>
          <w:sz w:val="22"/>
          <w:szCs w:val="22"/>
          <w:lang w:val="en"/>
        </w:rPr>
        <w:t xml:space="preserve"> consider</w:t>
      </w:r>
      <w:r>
        <w:rPr>
          <w:rFonts w:ascii="Century Schoolbook" w:hAnsi="Century Schoolbook"/>
          <w:iCs/>
          <w:color w:val="000000" w:themeColor="text1"/>
          <w:sz w:val="22"/>
          <w:szCs w:val="22"/>
          <w:lang w:val="en"/>
        </w:rPr>
        <w:t>:</w:t>
      </w:r>
    </w:p>
    <w:p w:rsidR="00625B3F" w:rsidRPr="008F3E1D" w:rsidRDefault="00625B3F" w:rsidP="00625B3F">
      <w:pPr>
        <w:spacing w:line="360" w:lineRule="auto"/>
        <w:ind w:left="720"/>
        <w:rPr>
          <w:rFonts w:ascii="Century Schoolbook" w:hAnsi="Century Schoolbook"/>
          <w:iCs/>
          <w:color w:val="000000" w:themeColor="text1"/>
          <w:sz w:val="22"/>
          <w:szCs w:val="22"/>
          <w:lang w:val="en"/>
        </w:rPr>
      </w:pPr>
      <w:r w:rsidRPr="008F3E1D">
        <w:rPr>
          <w:rFonts w:ascii="Century Schoolbook" w:hAnsi="Century Schoolbook"/>
          <w:iCs/>
          <w:color w:val="000000" w:themeColor="text1"/>
          <w:sz w:val="22"/>
          <w:szCs w:val="22"/>
          <w:lang w:val="en"/>
        </w:rPr>
        <w:t xml:space="preserve">(A)(i) </w:t>
      </w:r>
      <w:proofErr w:type="gramStart"/>
      <w:r w:rsidRPr="008F3E1D">
        <w:rPr>
          <w:rFonts w:ascii="Century Schoolbook" w:hAnsi="Century Schoolbook"/>
          <w:iCs/>
          <w:color w:val="000000" w:themeColor="text1"/>
          <w:sz w:val="22"/>
          <w:szCs w:val="22"/>
          <w:lang w:val="en"/>
        </w:rPr>
        <w:t>the</w:t>
      </w:r>
      <w:proofErr w:type="gramEnd"/>
      <w:r w:rsidRPr="008F3E1D">
        <w:rPr>
          <w:rFonts w:ascii="Century Schoolbook" w:hAnsi="Century Schoolbook"/>
          <w:iCs/>
          <w:color w:val="000000" w:themeColor="text1"/>
          <w:sz w:val="22"/>
          <w:szCs w:val="22"/>
          <w:lang w:val="en"/>
        </w:rPr>
        <w:t xml:space="preserve"> work counsel has done in identifying or investigating potential claims in the action;</w:t>
      </w:r>
    </w:p>
    <w:p w:rsidR="00625B3F" w:rsidRPr="008F3E1D" w:rsidRDefault="00625B3F" w:rsidP="00625B3F">
      <w:pPr>
        <w:spacing w:line="360" w:lineRule="auto"/>
        <w:ind w:left="720"/>
        <w:rPr>
          <w:rFonts w:ascii="Century Schoolbook" w:hAnsi="Century Schoolbook"/>
          <w:iCs/>
          <w:color w:val="000000" w:themeColor="text1"/>
          <w:sz w:val="22"/>
          <w:szCs w:val="22"/>
          <w:lang w:val="en"/>
        </w:rPr>
      </w:pPr>
      <w:proofErr w:type="gramStart"/>
      <w:r w:rsidRPr="008F3E1D">
        <w:rPr>
          <w:rFonts w:ascii="Century Schoolbook" w:hAnsi="Century Schoolbook"/>
          <w:iCs/>
          <w:color w:val="000000" w:themeColor="text1"/>
          <w:sz w:val="22"/>
          <w:szCs w:val="22"/>
          <w:lang w:val="en"/>
        </w:rPr>
        <w:t>(ii) counsel's</w:t>
      </w:r>
      <w:proofErr w:type="gramEnd"/>
      <w:r w:rsidRPr="008F3E1D">
        <w:rPr>
          <w:rFonts w:ascii="Century Schoolbook" w:hAnsi="Century Schoolbook"/>
          <w:iCs/>
          <w:color w:val="000000" w:themeColor="text1"/>
          <w:sz w:val="22"/>
          <w:szCs w:val="22"/>
          <w:lang w:val="en"/>
        </w:rPr>
        <w:t xml:space="preserve"> experience in handling class actions, other complex litigation, and the types of claims asserted in the action;</w:t>
      </w:r>
    </w:p>
    <w:p w:rsidR="00625B3F" w:rsidRPr="008F3E1D" w:rsidRDefault="00625B3F" w:rsidP="00625B3F">
      <w:pPr>
        <w:spacing w:line="360" w:lineRule="auto"/>
        <w:ind w:left="720"/>
        <w:rPr>
          <w:rFonts w:ascii="Century Schoolbook" w:hAnsi="Century Schoolbook"/>
          <w:iCs/>
          <w:color w:val="000000" w:themeColor="text1"/>
          <w:sz w:val="22"/>
          <w:szCs w:val="22"/>
          <w:lang w:val="en"/>
        </w:rPr>
      </w:pPr>
      <w:proofErr w:type="gramStart"/>
      <w:r w:rsidRPr="008F3E1D">
        <w:rPr>
          <w:rFonts w:ascii="Century Schoolbook" w:hAnsi="Century Schoolbook"/>
          <w:iCs/>
          <w:color w:val="000000" w:themeColor="text1"/>
          <w:sz w:val="22"/>
          <w:szCs w:val="22"/>
          <w:lang w:val="en"/>
        </w:rPr>
        <w:t>(iii) counsel's</w:t>
      </w:r>
      <w:proofErr w:type="gramEnd"/>
      <w:r w:rsidRPr="008F3E1D">
        <w:rPr>
          <w:rFonts w:ascii="Century Schoolbook" w:hAnsi="Century Schoolbook"/>
          <w:iCs/>
          <w:color w:val="000000" w:themeColor="text1"/>
          <w:sz w:val="22"/>
          <w:szCs w:val="22"/>
          <w:lang w:val="en"/>
        </w:rPr>
        <w:t xml:space="preserve"> knowledge of the applicable law; and</w:t>
      </w:r>
    </w:p>
    <w:p w:rsidR="00625B3F" w:rsidRPr="008F3E1D" w:rsidRDefault="00625B3F" w:rsidP="00625B3F">
      <w:pPr>
        <w:spacing w:line="360" w:lineRule="auto"/>
        <w:ind w:left="720"/>
        <w:rPr>
          <w:rFonts w:ascii="Century Schoolbook" w:hAnsi="Century Schoolbook"/>
          <w:iCs/>
          <w:color w:val="000000" w:themeColor="text1"/>
          <w:sz w:val="22"/>
          <w:szCs w:val="22"/>
          <w:lang w:val="en"/>
        </w:rPr>
      </w:pPr>
      <w:r w:rsidRPr="008F3E1D">
        <w:rPr>
          <w:rFonts w:ascii="Century Schoolbook" w:hAnsi="Century Schoolbook"/>
          <w:iCs/>
          <w:color w:val="000000" w:themeColor="text1"/>
          <w:sz w:val="22"/>
          <w:szCs w:val="22"/>
          <w:lang w:val="en"/>
        </w:rPr>
        <w:t xml:space="preserve">(iv) </w:t>
      </w:r>
      <w:proofErr w:type="gramStart"/>
      <w:r w:rsidRPr="008F3E1D">
        <w:rPr>
          <w:rFonts w:ascii="Century Schoolbook" w:hAnsi="Century Schoolbook"/>
          <w:iCs/>
          <w:color w:val="000000" w:themeColor="text1"/>
          <w:sz w:val="22"/>
          <w:szCs w:val="22"/>
          <w:lang w:val="en"/>
        </w:rPr>
        <w:t>the</w:t>
      </w:r>
      <w:proofErr w:type="gramEnd"/>
      <w:r w:rsidRPr="008F3E1D">
        <w:rPr>
          <w:rFonts w:ascii="Century Schoolbook" w:hAnsi="Century Schoolbook"/>
          <w:iCs/>
          <w:color w:val="000000" w:themeColor="text1"/>
          <w:sz w:val="22"/>
          <w:szCs w:val="22"/>
          <w:lang w:val="en"/>
        </w:rPr>
        <w:t xml:space="preserve"> resources that counsel will commit to representing the class.”  </w:t>
      </w:r>
    </w:p>
    <w:p w:rsidR="00625B3F" w:rsidRPr="008F3E1D" w:rsidRDefault="00625B3F" w:rsidP="00625B3F">
      <w:pPr>
        <w:spacing w:line="360" w:lineRule="auto"/>
        <w:ind w:firstLine="720"/>
        <w:rPr>
          <w:rFonts w:ascii="Century Schoolbook" w:hAnsi="Century Schoolbook"/>
          <w:iCs/>
          <w:color w:val="000000" w:themeColor="text1"/>
          <w:sz w:val="22"/>
          <w:szCs w:val="22"/>
          <w:lang w:val="en"/>
        </w:rPr>
      </w:pPr>
      <w:r w:rsidRPr="008F3E1D">
        <w:rPr>
          <w:rFonts w:ascii="Century Schoolbook" w:hAnsi="Century Schoolbook"/>
          <w:iCs/>
          <w:color w:val="000000" w:themeColor="text1"/>
          <w:sz w:val="22"/>
          <w:szCs w:val="22"/>
          <w:lang w:val="en"/>
        </w:rPr>
        <w:t>In addition, the court “</w:t>
      </w:r>
      <w:r w:rsidRPr="003541F9">
        <w:rPr>
          <w:rFonts w:ascii="Century Schoolbook" w:hAnsi="Century Schoolbook"/>
          <w:i/>
          <w:iCs/>
          <w:color w:val="000000" w:themeColor="text1"/>
          <w:sz w:val="22"/>
          <w:szCs w:val="22"/>
          <w:lang w:val="en"/>
        </w:rPr>
        <w:t>may</w:t>
      </w:r>
      <w:r w:rsidRPr="008F3E1D">
        <w:rPr>
          <w:rFonts w:ascii="Century Schoolbook" w:hAnsi="Century Schoolbook"/>
          <w:iCs/>
          <w:color w:val="000000" w:themeColor="text1"/>
          <w:sz w:val="22"/>
          <w:szCs w:val="22"/>
          <w:lang w:val="en"/>
        </w:rPr>
        <w:t xml:space="preserve"> consider any other matter pertinent to counsel's ability to fairly and adequately represent the interests of the class.”</w:t>
      </w:r>
      <w:r>
        <w:rPr>
          <w:rStyle w:val="FootnoteReference"/>
          <w:rFonts w:ascii="Century Schoolbook" w:hAnsi="Century Schoolbook"/>
          <w:iCs/>
          <w:color w:val="000000" w:themeColor="text1"/>
          <w:sz w:val="22"/>
          <w:szCs w:val="22"/>
          <w:lang w:val="en"/>
        </w:rPr>
        <w:footnoteReference w:id="65"/>
      </w:r>
      <w:r w:rsidRPr="008F3E1D">
        <w:rPr>
          <w:rFonts w:ascii="Century Schoolbook" w:hAnsi="Century Schoolbook"/>
          <w:iCs/>
          <w:color w:val="000000" w:themeColor="text1"/>
          <w:sz w:val="22"/>
          <w:szCs w:val="22"/>
          <w:lang w:val="en"/>
        </w:rPr>
        <w:t xml:space="preserve">  </w:t>
      </w:r>
    </w:p>
    <w:p w:rsidR="00625B3F" w:rsidRPr="008F3E1D" w:rsidRDefault="00625B3F" w:rsidP="00625B3F">
      <w:pPr>
        <w:spacing w:line="360" w:lineRule="auto"/>
        <w:ind w:firstLine="720"/>
        <w:rPr>
          <w:rStyle w:val="IntenseEmphasis"/>
          <w:rFonts w:ascii="Century Schoolbook" w:hAnsi="Century Schoolbook"/>
          <w:i w:val="0"/>
          <w:color w:val="000000" w:themeColor="text1"/>
          <w:sz w:val="22"/>
          <w:szCs w:val="22"/>
        </w:rPr>
      </w:pPr>
      <w:r w:rsidRPr="008F3E1D">
        <w:rPr>
          <w:rFonts w:ascii="Century Schoolbook" w:hAnsi="Century Schoolbook"/>
          <w:iCs/>
          <w:color w:val="000000" w:themeColor="text1"/>
          <w:sz w:val="22"/>
          <w:szCs w:val="22"/>
          <w:lang w:val="en"/>
        </w:rPr>
        <w:t xml:space="preserve">Finally, class counsel must “fairly and adequately” represent the interests of the class. </w:t>
      </w:r>
      <w:r>
        <w:rPr>
          <w:rStyle w:val="FootnoteReference"/>
          <w:rFonts w:ascii="Century Schoolbook" w:hAnsi="Century Schoolbook"/>
          <w:iCs/>
          <w:color w:val="000000" w:themeColor="text1"/>
          <w:sz w:val="22"/>
          <w:szCs w:val="22"/>
          <w:lang w:val="en"/>
        </w:rPr>
        <w:footnoteReference w:id="66"/>
      </w:r>
      <w:r w:rsidRPr="008F3E1D">
        <w:rPr>
          <w:rFonts w:ascii="Century Schoolbook" w:hAnsi="Century Schoolbook"/>
          <w:iCs/>
          <w:color w:val="000000" w:themeColor="text1"/>
          <w:sz w:val="22"/>
          <w:szCs w:val="22"/>
          <w:lang w:val="en"/>
        </w:rPr>
        <w:t xml:space="preserve"> </w:t>
      </w:r>
    </w:p>
    <w:p w:rsidR="00625B3F" w:rsidRPr="008F3E1D" w:rsidRDefault="00625B3F" w:rsidP="00625B3F">
      <w:pPr>
        <w:spacing w:line="360" w:lineRule="auto"/>
        <w:ind w:firstLine="720"/>
        <w:rPr>
          <w:rFonts w:ascii="Century Schoolbook" w:hAnsi="Century Schoolbook"/>
          <w:iCs/>
          <w:color w:val="000000" w:themeColor="text1"/>
          <w:sz w:val="22"/>
          <w:szCs w:val="22"/>
          <w:lang w:val="en"/>
        </w:rPr>
      </w:pPr>
      <w:r w:rsidRPr="008F3E1D">
        <w:rPr>
          <w:rStyle w:val="IntenseEmphasis"/>
          <w:rFonts w:ascii="Century Schoolbook" w:hAnsi="Century Schoolbook"/>
          <w:color w:val="000000" w:themeColor="text1"/>
          <w:sz w:val="22"/>
          <w:szCs w:val="22"/>
        </w:rPr>
        <w:t>When more than one counsel seeks appointment, and is adequate under Rule 23(g</w:t>
      </w:r>
      <w:proofErr w:type="gramStart"/>
      <w:r w:rsidRPr="008F3E1D">
        <w:rPr>
          <w:rStyle w:val="IntenseEmphasis"/>
          <w:rFonts w:ascii="Century Schoolbook" w:hAnsi="Century Schoolbook"/>
          <w:color w:val="000000" w:themeColor="text1"/>
          <w:sz w:val="22"/>
          <w:szCs w:val="22"/>
        </w:rPr>
        <w:t>)(</w:t>
      </w:r>
      <w:proofErr w:type="gramEnd"/>
      <w:r w:rsidRPr="008F3E1D">
        <w:rPr>
          <w:rStyle w:val="IntenseEmphasis"/>
          <w:rFonts w:ascii="Century Schoolbook" w:hAnsi="Century Schoolbook"/>
          <w:color w:val="000000" w:themeColor="text1"/>
          <w:sz w:val="22"/>
          <w:szCs w:val="22"/>
        </w:rPr>
        <w:t>1) and (4), the court “</w:t>
      </w:r>
      <w:r w:rsidRPr="008F3E1D">
        <w:rPr>
          <w:rFonts w:ascii="Century Schoolbook" w:hAnsi="Century Schoolbook"/>
          <w:iCs/>
          <w:color w:val="000000" w:themeColor="text1"/>
          <w:sz w:val="22"/>
          <w:szCs w:val="22"/>
          <w:lang w:val="en"/>
        </w:rPr>
        <w:t>must appoint the applicant best able to represent the interests of the class.”</w:t>
      </w:r>
      <w:r>
        <w:rPr>
          <w:rStyle w:val="FootnoteReference"/>
          <w:rFonts w:ascii="Century Schoolbook" w:hAnsi="Century Schoolbook"/>
          <w:iCs/>
          <w:color w:val="000000" w:themeColor="text1"/>
          <w:sz w:val="22"/>
          <w:szCs w:val="22"/>
          <w:lang w:val="en"/>
        </w:rPr>
        <w:footnoteReference w:id="67"/>
      </w:r>
      <w:r w:rsidRPr="008F3E1D">
        <w:rPr>
          <w:rFonts w:ascii="Century Schoolbook" w:hAnsi="Century Schoolbook"/>
          <w:iCs/>
          <w:color w:val="000000" w:themeColor="text1"/>
          <w:sz w:val="22"/>
          <w:szCs w:val="22"/>
          <w:lang w:val="en"/>
        </w:rPr>
        <w:t xml:space="preserve">  </w:t>
      </w:r>
    </w:p>
    <w:p w:rsidR="00625B3F" w:rsidRPr="003E0FAD" w:rsidRDefault="00625B3F" w:rsidP="00625B3F">
      <w:pPr>
        <w:pStyle w:val="ListParagraph"/>
        <w:numPr>
          <w:ilvl w:val="0"/>
          <w:numId w:val="1"/>
        </w:numPr>
        <w:spacing w:line="360" w:lineRule="auto"/>
        <w:ind w:left="540"/>
        <w:rPr>
          <w:rFonts w:ascii="Century Schoolbook" w:hAnsi="Century Schoolbook"/>
          <w:b/>
          <w:iCs/>
          <w:color w:val="000000" w:themeColor="text1"/>
          <w:sz w:val="22"/>
          <w:szCs w:val="22"/>
          <w:lang w:val="en"/>
        </w:rPr>
      </w:pPr>
      <w:r w:rsidRPr="003E0FAD">
        <w:rPr>
          <w:rFonts w:ascii="Century Schoolbook" w:hAnsi="Century Schoolbook"/>
          <w:b/>
          <w:iCs/>
          <w:color w:val="000000" w:themeColor="text1"/>
          <w:sz w:val="22"/>
          <w:szCs w:val="22"/>
          <w:lang w:val="en"/>
        </w:rPr>
        <w:t>Guidance</w:t>
      </w:r>
    </w:p>
    <w:p w:rsidR="00625B3F" w:rsidRPr="008F3E1D" w:rsidRDefault="00625B3F" w:rsidP="00625B3F">
      <w:pPr>
        <w:pStyle w:val="ListParagraph"/>
        <w:numPr>
          <w:ilvl w:val="3"/>
          <w:numId w:val="4"/>
        </w:numPr>
        <w:spacing w:line="360" w:lineRule="auto"/>
        <w:ind w:left="1080"/>
        <w:rPr>
          <w:rFonts w:ascii="Century Schoolbook" w:hAnsi="Century Schoolbook"/>
          <w:b/>
          <w:i/>
          <w:iCs/>
          <w:color w:val="000000" w:themeColor="text1"/>
          <w:sz w:val="22"/>
          <w:szCs w:val="22"/>
          <w:lang w:val="en"/>
        </w:rPr>
      </w:pPr>
      <w:r w:rsidRPr="008F3E1D">
        <w:rPr>
          <w:rFonts w:ascii="Century Schoolbook" w:hAnsi="Century Schoolbook"/>
          <w:b/>
          <w:i/>
          <w:iCs/>
          <w:color w:val="000000" w:themeColor="text1"/>
          <w:sz w:val="22"/>
          <w:szCs w:val="22"/>
          <w:lang w:val="en"/>
        </w:rPr>
        <w:t>Manual for Complex Litigation</w:t>
      </w:r>
    </w:p>
    <w:p w:rsidR="00625B3F" w:rsidRPr="008F3E1D" w:rsidRDefault="00625B3F" w:rsidP="00625B3F">
      <w:pPr>
        <w:spacing w:line="360" w:lineRule="auto"/>
        <w:ind w:firstLine="720"/>
        <w:rPr>
          <w:rFonts w:ascii="Century Schoolbook" w:hAnsi="Century Schoolbook" w:cs="Times New Roman"/>
          <w:i/>
          <w:sz w:val="22"/>
          <w:szCs w:val="22"/>
        </w:rPr>
      </w:pPr>
      <w:r w:rsidRPr="008F3E1D">
        <w:rPr>
          <w:rFonts w:ascii="Century Schoolbook" w:hAnsi="Century Schoolbook" w:cs="Times New Roman"/>
          <w:sz w:val="22"/>
          <w:szCs w:val="22"/>
        </w:rPr>
        <w:t xml:space="preserve">The </w:t>
      </w:r>
      <w:r w:rsidRPr="00B72636">
        <w:rPr>
          <w:rFonts w:ascii="Century Schoolbook" w:hAnsi="Century Schoolbook" w:cs="Times New Roman"/>
          <w:i/>
          <w:sz w:val="22"/>
          <w:szCs w:val="22"/>
        </w:rPr>
        <w:t xml:space="preserve">Manual </w:t>
      </w:r>
      <w:r w:rsidRPr="008F3E1D">
        <w:rPr>
          <w:rFonts w:ascii="Century Schoolbook" w:hAnsi="Century Schoolbook" w:cs="Times New Roman"/>
          <w:sz w:val="22"/>
          <w:szCs w:val="22"/>
        </w:rPr>
        <w:t xml:space="preserve">recognizes the essential role that counsel play in the success of any complex litigation.  The role of counsel is so essential, in fact, that the </w:t>
      </w:r>
      <w:r w:rsidRPr="00B72636">
        <w:rPr>
          <w:rFonts w:ascii="Century Schoolbook" w:hAnsi="Century Schoolbook" w:cs="Times New Roman"/>
          <w:i/>
          <w:sz w:val="22"/>
          <w:szCs w:val="22"/>
        </w:rPr>
        <w:t>Manual</w:t>
      </w:r>
      <w:r w:rsidRPr="008F3E1D">
        <w:rPr>
          <w:rFonts w:ascii="Century Schoolbook" w:hAnsi="Century Schoolbook" w:cs="Times New Roman"/>
          <w:sz w:val="22"/>
          <w:szCs w:val="22"/>
        </w:rPr>
        <w:t xml:space="preserve"> places it up front in </w:t>
      </w:r>
      <w:r>
        <w:rPr>
          <w:rFonts w:ascii="Century Schoolbook" w:hAnsi="Century Schoolbook" w:cs="Times New Roman"/>
          <w:sz w:val="22"/>
          <w:szCs w:val="22"/>
        </w:rPr>
        <w:t>its</w:t>
      </w:r>
      <w:r w:rsidRPr="008F3E1D">
        <w:rPr>
          <w:rFonts w:ascii="Century Schoolbook" w:hAnsi="Century Schoolbook" w:cs="Times New Roman"/>
          <w:sz w:val="22"/>
          <w:szCs w:val="22"/>
        </w:rPr>
        <w:t xml:space="preserve"> overview of “General Principles.”</w:t>
      </w:r>
      <w:r>
        <w:rPr>
          <w:rStyle w:val="FootnoteReference"/>
          <w:rFonts w:ascii="Century Schoolbook" w:hAnsi="Century Schoolbook" w:cs="Times New Roman"/>
          <w:sz w:val="22"/>
          <w:szCs w:val="22"/>
        </w:rPr>
        <w:footnoteReference w:id="68"/>
      </w:r>
      <w:r w:rsidRPr="008F3E1D">
        <w:rPr>
          <w:rFonts w:ascii="Century Schoolbook" w:hAnsi="Century Schoolbook" w:cs="Times New Roman"/>
          <w:sz w:val="22"/>
          <w:szCs w:val="22"/>
        </w:rPr>
        <w:t xml:space="preserve"> What is emphasized at the outset, moreover, is not the number of past appointments that one has under his or her belt; it is the skills required to work effectively with the court and other attorneys.  </w:t>
      </w:r>
      <w:r>
        <w:rPr>
          <w:rFonts w:ascii="Century Schoolbook" w:hAnsi="Century Schoolbook" w:cs="Times New Roman"/>
          <w:sz w:val="22"/>
          <w:szCs w:val="22"/>
        </w:rPr>
        <w:t>The</w:t>
      </w:r>
      <w:r w:rsidRPr="008F3E1D">
        <w:rPr>
          <w:rFonts w:ascii="Century Schoolbook" w:hAnsi="Century Schoolbook" w:cs="Times New Roman"/>
          <w:sz w:val="22"/>
          <w:szCs w:val="22"/>
        </w:rPr>
        <w:t xml:space="preserve"> </w:t>
      </w:r>
      <w:r w:rsidRPr="00B72636">
        <w:rPr>
          <w:rFonts w:ascii="Century Schoolbook" w:hAnsi="Century Schoolbook" w:cs="Times New Roman"/>
          <w:i/>
          <w:sz w:val="22"/>
          <w:szCs w:val="22"/>
        </w:rPr>
        <w:t>Manual</w:t>
      </w:r>
      <w:r w:rsidRPr="008F3E1D">
        <w:rPr>
          <w:rFonts w:ascii="Century Schoolbook" w:hAnsi="Century Schoolbook" w:cs="Times New Roman"/>
          <w:sz w:val="22"/>
          <w:szCs w:val="22"/>
        </w:rPr>
        <w:t xml:space="preserve"> explains </w:t>
      </w:r>
      <w:r>
        <w:rPr>
          <w:rFonts w:ascii="Century Schoolbook" w:hAnsi="Century Schoolbook" w:cs="Times New Roman"/>
          <w:sz w:val="22"/>
          <w:szCs w:val="22"/>
        </w:rPr>
        <w:t xml:space="preserve">that </w:t>
      </w:r>
      <w:r w:rsidRPr="008F3E1D">
        <w:rPr>
          <w:rFonts w:ascii="Century Schoolbook" w:hAnsi="Century Schoolbook" w:cs="Times New Roman"/>
          <w:sz w:val="22"/>
          <w:szCs w:val="22"/>
        </w:rPr>
        <w:t>the “added demands and burdens of complex litigation place a premium on attorney professionalism, and the judge should encourage counsel to act responsibly.”</w:t>
      </w:r>
      <w:r>
        <w:rPr>
          <w:rStyle w:val="FootnoteReference"/>
          <w:rFonts w:ascii="Century Schoolbook" w:hAnsi="Century Schoolbook" w:cs="Times New Roman"/>
          <w:sz w:val="22"/>
          <w:szCs w:val="22"/>
        </w:rPr>
        <w:footnoteReference w:id="69"/>
      </w:r>
      <w:r w:rsidRPr="008F3E1D">
        <w:rPr>
          <w:rFonts w:ascii="Century Schoolbook" w:hAnsi="Century Schoolbook" w:cs="Times New Roman"/>
          <w:sz w:val="22"/>
          <w:szCs w:val="22"/>
        </w:rPr>
        <w:t xml:space="preserve">  Among the traits highlighted by the </w:t>
      </w:r>
      <w:r w:rsidRPr="00B72636">
        <w:rPr>
          <w:rFonts w:ascii="Century Schoolbook" w:hAnsi="Century Schoolbook" w:cs="Times New Roman"/>
          <w:i/>
          <w:sz w:val="22"/>
          <w:szCs w:val="22"/>
        </w:rPr>
        <w:t>Manual</w:t>
      </w:r>
      <w:r w:rsidRPr="008F3E1D">
        <w:rPr>
          <w:rFonts w:ascii="Century Schoolbook" w:hAnsi="Century Schoolbook" w:cs="Times New Roman"/>
          <w:sz w:val="22"/>
          <w:szCs w:val="22"/>
        </w:rPr>
        <w:t xml:space="preserve"> </w:t>
      </w:r>
      <w:r>
        <w:rPr>
          <w:rFonts w:ascii="Century Schoolbook" w:hAnsi="Century Schoolbook" w:cs="Times New Roman"/>
          <w:sz w:val="22"/>
          <w:szCs w:val="22"/>
        </w:rPr>
        <w:t>include</w:t>
      </w:r>
      <w:r w:rsidRPr="008F3E1D">
        <w:rPr>
          <w:rFonts w:ascii="Century Schoolbook" w:hAnsi="Century Schoolbook" w:cs="Times New Roman"/>
          <w:sz w:val="22"/>
          <w:szCs w:val="22"/>
        </w:rPr>
        <w:t xml:space="preserve"> </w:t>
      </w:r>
      <w:r>
        <w:rPr>
          <w:rFonts w:ascii="Century Schoolbook" w:hAnsi="Century Schoolbook" w:cs="Times New Roman"/>
          <w:sz w:val="22"/>
          <w:szCs w:val="22"/>
        </w:rPr>
        <w:t>attorneys’</w:t>
      </w:r>
      <w:r w:rsidRPr="008F3E1D">
        <w:rPr>
          <w:rFonts w:ascii="Century Schoolbook" w:hAnsi="Century Schoolbook" w:cs="Times New Roman"/>
          <w:sz w:val="22"/>
          <w:szCs w:val="22"/>
        </w:rPr>
        <w:t xml:space="preserve"> ability “to fulfill their obligations as advocates in a manner that will foster and sustain good working relations among fellow counsel and with the court.”</w:t>
      </w:r>
      <w:r>
        <w:rPr>
          <w:rStyle w:val="FootnoteReference"/>
          <w:rFonts w:ascii="Century Schoolbook" w:hAnsi="Century Schoolbook" w:cs="Times New Roman"/>
          <w:sz w:val="22"/>
          <w:szCs w:val="22"/>
        </w:rPr>
        <w:footnoteReference w:id="70"/>
      </w:r>
      <w:r>
        <w:rPr>
          <w:rFonts w:ascii="Century Schoolbook" w:hAnsi="Century Schoolbook" w:cs="Times New Roman"/>
          <w:sz w:val="22"/>
          <w:szCs w:val="22"/>
        </w:rPr>
        <w:t xml:space="preserve"> </w:t>
      </w:r>
      <w:r w:rsidRPr="008F3E1D">
        <w:rPr>
          <w:rFonts w:ascii="Century Schoolbook" w:hAnsi="Century Schoolbook" w:cs="Times New Roman"/>
          <w:sz w:val="22"/>
          <w:szCs w:val="22"/>
        </w:rPr>
        <w:t>Indeed, counsel “need to communicate constructively and civilly with one another and attempt to resolve disputes informally as often as possible.”</w:t>
      </w:r>
      <w:r>
        <w:rPr>
          <w:rStyle w:val="FootnoteReference"/>
          <w:rFonts w:ascii="Century Schoolbook" w:hAnsi="Century Schoolbook" w:cs="Times New Roman"/>
          <w:sz w:val="22"/>
          <w:szCs w:val="22"/>
        </w:rPr>
        <w:footnoteReference w:id="71"/>
      </w:r>
      <w:r>
        <w:rPr>
          <w:rFonts w:ascii="Century Schoolbook" w:hAnsi="Century Schoolbook" w:cs="Times New Roman"/>
          <w:sz w:val="22"/>
          <w:szCs w:val="22"/>
        </w:rPr>
        <w:t xml:space="preserve"> </w:t>
      </w:r>
      <w:r w:rsidRPr="008F3E1D">
        <w:rPr>
          <w:rFonts w:ascii="Century Schoolbook" w:hAnsi="Century Schoolbook" w:cs="Times New Roman"/>
          <w:sz w:val="22"/>
          <w:szCs w:val="22"/>
        </w:rPr>
        <w:t xml:space="preserve">And as the </w:t>
      </w:r>
      <w:r w:rsidRPr="00B72636">
        <w:rPr>
          <w:rFonts w:ascii="Century Schoolbook" w:hAnsi="Century Schoolbook" w:cs="Times New Roman"/>
          <w:i/>
          <w:sz w:val="22"/>
          <w:szCs w:val="22"/>
        </w:rPr>
        <w:t>Manual</w:t>
      </w:r>
      <w:r w:rsidRPr="008F3E1D">
        <w:rPr>
          <w:rFonts w:ascii="Century Schoolbook" w:hAnsi="Century Schoolbook" w:cs="Times New Roman"/>
          <w:sz w:val="22"/>
          <w:szCs w:val="22"/>
        </w:rPr>
        <w:t xml:space="preserve"> emphasizes, “[e]</w:t>
      </w:r>
      <w:proofErr w:type="spellStart"/>
      <w:r w:rsidRPr="008F3E1D">
        <w:rPr>
          <w:rFonts w:ascii="Century Schoolbook" w:hAnsi="Century Schoolbook" w:cs="Times New Roman"/>
          <w:sz w:val="22"/>
          <w:szCs w:val="22"/>
        </w:rPr>
        <w:t>ven</w:t>
      </w:r>
      <w:proofErr w:type="spellEnd"/>
      <w:r w:rsidRPr="008F3E1D">
        <w:rPr>
          <w:rFonts w:ascii="Century Schoolbook" w:hAnsi="Century Schoolbook" w:cs="Times New Roman"/>
          <w:sz w:val="22"/>
          <w:szCs w:val="22"/>
        </w:rPr>
        <w:t xml:space="preserve"> where the stakes are high, counsel should avoid unnecessary contentiousness and limit the controversy to material issues genuinely in dispute.”</w:t>
      </w:r>
      <w:r>
        <w:rPr>
          <w:rStyle w:val="FootnoteReference"/>
          <w:rFonts w:ascii="Century Schoolbook" w:hAnsi="Century Schoolbook" w:cs="Times New Roman"/>
          <w:sz w:val="22"/>
          <w:szCs w:val="22"/>
        </w:rPr>
        <w:footnoteReference w:id="72"/>
      </w:r>
      <w:r w:rsidRPr="008F3E1D">
        <w:rPr>
          <w:rFonts w:ascii="Century Schoolbook" w:hAnsi="Century Schoolbook" w:cs="Times New Roman"/>
          <w:sz w:val="22"/>
          <w:szCs w:val="22"/>
        </w:rPr>
        <w:t xml:space="preserve">  </w:t>
      </w:r>
      <w:r w:rsidRPr="008F3E1D">
        <w:rPr>
          <w:rFonts w:ascii="Century Schoolbook" w:hAnsi="Century Schoolbook" w:cs="Times New Roman"/>
          <w:i/>
          <w:sz w:val="22"/>
          <w:szCs w:val="22"/>
        </w:rPr>
        <w:t xml:space="preserve">  </w:t>
      </w:r>
    </w:p>
    <w:p w:rsidR="00625B3F" w:rsidRPr="008F3E1D" w:rsidRDefault="00625B3F" w:rsidP="00625B3F">
      <w:pPr>
        <w:spacing w:line="360" w:lineRule="auto"/>
        <w:ind w:firstLine="720"/>
        <w:rPr>
          <w:rFonts w:ascii="Century Schoolbook" w:hAnsi="Century Schoolbook" w:cs="Times New Roman"/>
          <w:sz w:val="22"/>
          <w:szCs w:val="22"/>
        </w:rPr>
      </w:pPr>
      <w:r w:rsidRPr="008F3E1D">
        <w:rPr>
          <w:rFonts w:ascii="Century Schoolbook" w:hAnsi="Century Schoolbook" w:cs="Times New Roman"/>
          <w:sz w:val="22"/>
          <w:szCs w:val="22"/>
        </w:rPr>
        <w:t xml:space="preserve">Further, the </w:t>
      </w:r>
      <w:r w:rsidRPr="00B72636">
        <w:rPr>
          <w:rFonts w:ascii="Century Schoolbook" w:hAnsi="Century Schoolbook" w:cs="Times New Roman"/>
          <w:i/>
          <w:sz w:val="22"/>
          <w:szCs w:val="22"/>
        </w:rPr>
        <w:t>Manual</w:t>
      </w:r>
      <w:r w:rsidRPr="008F3E1D">
        <w:rPr>
          <w:rFonts w:ascii="Century Schoolbook" w:hAnsi="Century Schoolbook" w:cs="Times New Roman"/>
          <w:sz w:val="22"/>
          <w:szCs w:val="22"/>
        </w:rPr>
        <w:t xml:space="preserve"> urges courts not to rubber stamp a leadership slate proposed by a majority of attorneys in the case, but to take an active part in deciding which individual attorneys are appropriate for which particular roles, be liaison counsel, lead counsel, or a committee member.  And in appointing counsel, the </w:t>
      </w:r>
      <w:r w:rsidRPr="00B72636">
        <w:rPr>
          <w:rFonts w:ascii="Century Schoolbook" w:hAnsi="Century Schoolbook" w:cs="Times New Roman"/>
          <w:i/>
          <w:sz w:val="22"/>
          <w:szCs w:val="22"/>
        </w:rPr>
        <w:t>Manual</w:t>
      </w:r>
      <w:r w:rsidRPr="008F3E1D">
        <w:rPr>
          <w:rFonts w:ascii="Century Schoolbook" w:hAnsi="Century Schoolbook" w:cs="Times New Roman"/>
          <w:sz w:val="22"/>
          <w:szCs w:val="22"/>
        </w:rPr>
        <w:t xml:space="preserve"> advises that “[i]t is important to assess the following factors”: </w:t>
      </w:r>
    </w:p>
    <w:p w:rsidR="00625B3F" w:rsidRPr="008F3E1D" w:rsidRDefault="00625B3F" w:rsidP="00625B3F">
      <w:pPr>
        <w:pStyle w:val="ListParagraph"/>
        <w:numPr>
          <w:ilvl w:val="0"/>
          <w:numId w:val="3"/>
        </w:numPr>
        <w:spacing w:line="360" w:lineRule="auto"/>
        <w:rPr>
          <w:rFonts w:ascii="Century Schoolbook" w:hAnsi="Century Schoolbook" w:cs="Times New Roman"/>
          <w:sz w:val="22"/>
          <w:szCs w:val="22"/>
        </w:rPr>
      </w:pPr>
      <w:r w:rsidRPr="008F3E1D">
        <w:rPr>
          <w:rFonts w:ascii="Century Schoolbook" w:hAnsi="Century Schoolbook" w:cs="Times New Roman"/>
          <w:sz w:val="22"/>
          <w:szCs w:val="22"/>
        </w:rPr>
        <w:t>“qualifications, functions, organization, and compensation of designated counsel”;</w:t>
      </w:r>
    </w:p>
    <w:p w:rsidR="00625B3F" w:rsidRPr="008F3E1D" w:rsidRDefault="00625B3F" w:rsidP="00625B3F">
      <w:pPr>
        <w:pStyle w:val="ListParagraph"/>
        <w:numPr>
          <w:ilvl w:val="0"/>
          <w:numId w:val="3"/>
        </w:numPr>
        <w:spacing w:line="360" w:lineRule="auto"/>
        <w:rPr>
          <w:rFonts w:ascii="Century Schoolbook" w:hAnsi="Century Schoolbook" w:cs="Times New Roman"/>
          <w:sz w:val="22"/>
          <w:szCs w:val="22"/>
        </w:rPr>
      </w:pPr>
      <w:r w:rsidRPr="008F3E1D">
        <w:rPr>
          <w:rFonts w:ascii="Century Schoolbook" w:hAnsi="Century Schoolbook" w:cs="Times New Roman"/>
          <w:sz w:val="22"/>
          <w:szCs w:val="22"/>
        </w:rPr>
        <w:t>“whether there has been full disclosure of all agreements and undertakings among counsel”;</w:t>
      </w:r>
    </w:p>
    <w:p w:rsidR="00625B3F" w:rsidRPr="008F3E1D" w:rsidRDefault="00625B3F" w:rsidP="00625B3F">
      <w:pPr>
        <w:pStyle w:val="ListParagraph"/>
        <w:numPr>
          <w:ilvl w:val="0"/>
          <w:numId w:val="3"/>
        </w:numPr>
        <w:spacing w:line="360" w:lineRule="auto"/>
        <w:rPr>
          <w:rFonts w:ascii="Century Schoolbook" w:hAnsi="Century Schoolbook" w:cs="Times New Roman"/>
          <w:sz w:val="22"/>
          <w:szCs w:val="22"/>
        </w:rPr>
      </w:pPr>
      <w:r w:rsidRPr="008F3E1D">
        <w:rPr>
          <w:rFonts w:ascii="Century Schoolbook" w:hAnsi="Century Schoolbook" w:cs="Times New Roman"/>
          <w:sz w:val="22"/>
          <w:szCs w:val="22"/>
        </w:rPr>
        <w:t>“would-be designated attorneys’ competence for assignments”;</w:t>
      </w:r>
    </w:p>
    <w:p w:rsidR="00625B3F" w:rsidRPr="008F3E1D" w:rsidRDefault="00625B3F" w:rsidP="00625B3F">
      <w:pPr>
        <w:pStyle w:val="ListParagraph"/>
        <w:numPr>
          <w:ilvl w:val="0"/>
          <w:numId w:val="3"/>
        </w:numPr>
        <w:spacing w:line="360" w:lineRule="auto"/>
        <w:rPr>
          <w:rFonts w:ascii="Century Schoolbook" w:hAnsi="Century Schoolbook" w:cs="Times New Roman"/>
          <w:sz w:val="22"/>
          <w:szCs w:val="22"/>
        </w:rPr>
      </w:pPr>
      <w:r w:rsidRPr="008F3E1D">
        <w:rPr>
          <w:rFonts w:ascii="Century Schoolbook" w:hAnsi="Century Schoolbook" w:cs="Times New Roman"/>
          <w:sz w:val="22"/>
          <w:szCs w:val="22"/>
        </w:rPr>
        <w:t>“whether there are clear and satisfactory guidelines for compensation and reimbursement, and whether the arrangements for coordination among counsel are fair, reasonable, and efficient”;</w:t>
      </w:r>
    </w:p>
    <w:p w:rsidR="00625B3F" w:rsidRPr="008F3E1D" w:rsidRDefault="00625B3F" w:rsidP="00625B3F">
      <w:pPr>
        <w:pStyle w:val="ListParagraph"/>
        <w:numPr>
          <w:ilvl w:val="0"/>
          <w:numId w:val="3"/>
        </w:numPr>
        <w:spacing w:line="360" w:lineRule="auto"/>
        <w:rPr>
          <w:rFonts w:ascii="Century Schoolbook" w:hAnsi="Century Schoolbook" w:cs="Times New Roman"/>
          <w:sz w:val="22"/>
          <w:szCs w:val="22"/>
        </w:rPr>
      </w:pPr>
      <w:r w:rsidRPr="008F3E1D">
        <w:rPr>
          <w:rFonts w:ascii="Century Schoolbook" w:hAnsi="Century Schoolbook" w:cs="Times New Roman"/>
          <w:sz w:val="22"/>
          <w:szCs w:val="22"/>
        </w:rPr>
        <w:t xml:space="preserve">“whether designated counsel </w:t>
      </w:r>
      <w:r w:rsidRPr="003541F9">
        <w:rPr>
          <w:rFonts w:ascii="Century Schoolbook" w:hAnsi="Century Schoolbook" w:cs="Times New Roman"/>
          <w:i/>
          <w:sz w:val="22"/>
          <w:szCs w:val="22"/>
        </w:rPr>
        <w:t xml:space="preserve">fairly represent the various interests in the litigation </w:t>
      </w:r>
      <w:r>
        <w:rPr>
          <w:rFonts w:ascii="Century Schoolbook" w:hAnsi="Century Schoolbook" w:cs="Times New Roman"/>
          <w:i/>
          <w:sz w:val="22"/>
          <w:szCs w:val="22"/>
        </w:rPr>
        <w:t>––</w:t>
      </w:r>
      <w:r w:rsidRPr="003541F9">
        <w:rPr>
          <w:rFonts w:ascii="Century Schoolbook" w:hAnsi="Century Schoolbook" w:cs="Times New Roman"/>
          <w:i/>
          <w:sz w:val="22"/>
          <w:szCs w:val="22"/>
        </w:rPr>
        <w:t xml:space="preserve"> where diverse interests exist</w:t>
      </w:r>
      <w:r w:rsidRPr="008F3E1D">
        <w:rPr>
          <w:rFonts w:ascii="Century Schoolbook" w:hAnsi="Century Schoolbook" w:cs="Times New Roman"/>
          <w:b/>
          <w:i/>
          <w:sz w:val="22"/>
          <w:szCs w:val="22"/>
        </w:rPr>
        <w:t xml:space="preserve"> </w:t>
      </w:r>
      <w:r w:rsidRPr="008F3E1D">
        <w:rPr>
          <w:rFonts w:ascii="Century Schoolbook" w:hAnsi="Century Schoolbook" w:cs="Times New Roman"/>
          <w:sz w:val="22"/>
          <w:szCs w:val="22"/>
        </w:rPr>
        <w:t>among the parties, the court may designate a committee of counsel representing different interests”;</w:t>
      </w:r>
    </w:p>
    <w:p w:rsidR="00625B3F" w:rsidRPr="008F3E1D" w:rsidRDefault="00625B3F" w:rsidP="00625B3F">
      <w:pPr>
        <w:pStyle w:val="ListParagraph"/>
        <w:numPr>
          <w:ilvl w:val="0"/>
          <w:numId w:val="3"/>
        </w:numPr>
        <w:spacing w:line="360" w:lineRule="auto"/>
        <w:rPr>
          <w:rFonts w:ascii="Century Schoolbook" w:hAnsi="Century Schoolbook" w:cs="Times New Roman"/>
          <w:sz w:val="22"/>
          <w:szCs w:val="22"/>
        </w:rPr>
      </w:pPr>
      <w:r w:rsidRPr="008F3E1D">
        <w:rPr>
          <w:rFonts w:ascii="Century Schoolbook" w:hAnsi="Century Schoolbook" w:cs="Times New Roman"/>
          <w:sz w:val="22"/>
          <w:szCs w:val="22"/>
        </w:rPr>
        <w:t xml:space="preserve">“the attorneys’ resources, commitment, and qualifications to accomplish the assigned tasks”; and </w:t>
      </w:r>
    </w:p>
    <w:p w:rsidR="00625B3F" w:rsidRPr="00B72636" w:rsidRDefault="00625B3F" w:rsidP="00625B3F">
      <w:pPr>
        <w:pStyle w:val="ListParagraph"/>
        <w:numPr>
          <w:ilvl w:val="0"/>
          <w:numId w:val="3"/>
        </w:numPr>
        <w:spacing w:line="360" w:lineRule="auto"/>
        <w:rPr>
          <w:rFonts w:ascii="Century Schoolbook" w:hAnsi="Century Schoolbook" w:cs="Times New Roman"/>
          <w:sz w:val="22"/>
          <w:szCs w:val="22"/>
        </w:rPr>
      </w:pPr>
      <w:r w:rsidRPr="00B72636">
        <w:rPr>
          <w:rFonts w:ascii="Century Schoolbook" w:hAnsi="Century Schoolbook" w:cs="Times New Roman"/>
          <w:sz w:val="22"/>
          <w:szCs w:val="22"/>
        </w:rPr>
        <w:t>“the attorneys’ ability to command the respect of their colleagues and work cooperatively with opposing counsel and the court – experience in similar roles in other litigation may be useful, but an attorney may have generated personal antagonisms during prior proceedings that will undermine his or her effectiveness in the present case.”</w:t>
      </w:r>
      <w:r>
        <w:rPr>
          <w:rStyle w:val="FootnoteReference"/>
          <w:rFonts w:ascii="Century Schoolbook" w:hAnsi="Century Schoolbook" w:cs="Times New Roman"/>
          <w:sz w:val="22"/>
          <w:szCs w:val="22"/>
        </w:rPr>
        <w:footnoteReference w:id="73"/>
      </w:r>
    </w:p>
    <w:p w:rsidR="00625B3F" w:rsidRPr="008F3E1D" w:rsidRDefault="00625B3F" w:rsidP="00625B3F">
      <w:pPr>
        <w:spacing w:line="360" w:lineRule="auto"/>
        <w:ind w:firstLine="720"/>
        <w:rPr>
          <w:rFonts w:ascii="Century Schoolbook" w:hAnsi="Century Schoolbook" w:cs="Times New Roman"/>
          <w:sz w:val="22"/>
          <w:szCs w:val="22"/>
        </w:rPr>
      </w:pPr>
      <w:r w:rsidRPr="008F3E1D">
        <w:rPr>
          <w:rFonts w:ascii="Century Schoolbook" w:hAnsi="Century Schoolbook" w:cs="Times New Roman"/>
          <w:sz w:val="22"/>
          <w:szCs w:val="22"/>
        </w:rPr>
        <w:t xml:space="preserve">As is obvious from the above bullet points, “experience in similar roles in other litigation” is only </w:t>
      </w:r>
      <w:r w:rsidRPr="003541F9">
        <w:rPr>
          <w:rFonts w:ascii="Century Schoolbook" w:hAnsi="Century Schoolbook" w:cs="Times New Roman"/>
          <w:i/>
          <w:sz w:val="22"/>
          <w:szCs w:val="22"/>
        </w:rPr>
        <w:t>one</w:t>
      </w:r>
      <w:r w:rsidRPr="008F3E1D">
        <w:rPr>
          <w:rFonts w:ascii="Century Schoolbook" w:hAnsi="Century Schoolbook" w:cs="Times New Roman"/>
          <w:sz w:val="22"/>
          <w:szCs w:val="22"/>
        </w:rPr>
        <w:t xml:space="preserve"> of myriad considerations.  And with respect to past experience, the court should probe further to try to discern between ‘good’ and ‘bad’ experience.  That is, an attorney with a reputation for ruthlessness </w:t>
      </w:r>
      <w:r>
        <w:rPr>
          <w:rFonts w:ascii="Century Schoolbook" w:hAnsi="Century Schoolbook" w:cs="Times New Roman"/>
          <w:sz w:val="22"/>
          <w:szCs w:val="22"/>
        </w:rPr>
        <w:t>who creates</w:t>
      </w:r>
      <w:r w:rsidRPr="008F3E1D">
        <w:rPr>
          <w:rFonts w:ascii="Century Schoolbook" w:hAnsi="Century Schoolbook" w:cs="Times New Roman"/>
          <w:sz w:val="22"/>
          <w:szCs w:val="22"/>
        </w:rPr>
        <w:t xml:space="preserve"> needless disputes with other counsel may, despite a laundry-list of past appointments, be passed over for another attorney who has less experience but who has not engendered animosity among the same peers she is tasked with leading.  In other words, courts should look beyond what looks good on paper and determine which attorneys will provide the type of collegial and steady leadership that is needed in a given case.  </w:t>
      </w:r>
    </w:p>
    <w:p w:rsidR="00625B3F" w:rsidRPr="008F3E1D" w:rsidRDefault="00625B3F" w:rsidP="00625B3F">
      <w:pPr>
        <w:spacing w:line="360" w:lineRule="auto"/>
        <w:ind w:firstLine="720"/>
        <w:rPr>
          <w:rFonts w:ascii="Century Schoolbook" w:hAnsi="Century Schoolbook" w:cs="Times New Roman"/>
          <w:sz w:val="22"/>
          <w:szCs w:val="22"/>
        </w:rPr>
      </w:pPr>
      <w:r w:rsidRPr="008F3E1D">
        <w:rPr>
          <w:rFonts w:ascii="Century Schoolbook" w:hAnsi="Century Schoolbook" w:cs="Times New Roman"/>
          <w:sz w:val="22"/>
          <w:szCs w:val="22"/>
        </w:rPr>
        <w:t xml:space="preserve">In addition, the </w:t>
      </w:r>
      <w:r w:rsidRPr="008C3276">
        <w:rPr>
          <w:rFonts w:ascii="Century Schoolbook" w:hAnsi="Century Schoolbook" w:cs="Times New Roman"/>
          <w:i/>
          <w:sz w:val="22"/>
          <w:szCs w:val="22"/>
        </w:rPr>
        <w:t>Manual</w:t>
      </w:r>
      <w:r w:rsidRPr="008F3E1D">
        <w:rPr>
          <w:rFonts w:ascii="Century Schoolbook" w:hAnsi="Century Schoolbook" w:cs="Times New Roman"/>
          <w:sz w:val="22"/>
          <w:szCs w:val="22"/>
        </w:rPr>
        <w:t xml:space="preserve"> acknowledges that diverse interests should be considered.  This does not appear on its face to be a call to action for appointing more women and minorit</w:t>
      </w:r>
      <w:r>
        <w:rPr>
          <w:rFonts w:ascii="Century Schoolbook" w:hAnsi="Century Schoolbook" w:cs="Times New Roman"/>
          <w:sz w:val="22"/>
          <w:szCs w:val="22"/>
        </w:rPr>
        <w:t>y</w:t>
      </w:r>
      <w:r w:rsidRPr="008F3E1D">
        <w:rPr>
          <w:rFonts w:ascii="Century Schoolbook" w:hAnsi="Century Schoolbook" w:cs="Times New Roman"/>
          <w:sz w:val="22"/>
          <w:szCs w:val="22"/>
        </w:rPr>
        <w:t xml:space="preserve"> attorneys, but it could be used to support such an argument, particularly in cases that implicate the rights or experiences of women and minorities.</w:t>
      </w:r>
    </w:p>
    <w:p w:rsidR="00625B3F" w:rsidRPr="008F3E1D" w:rsidRDefault="00625B3F" w:rsidP="00625B3F">
      <w:pPr>
        <w:spacing w:line="360" w:lineRule="auto"/>
        <w:ind w:firstLine="720"/>
        <w:rPr>
          <w:rFonts w:ascii="Century Schoolbook" w:hAnsi="Century Schoolbook" w:cs="Times New Roman"/>
          <w:sz w:val="22"/>
          <w:szCs w:val="22"/>
        </w:rPr>
      </w:pPr>
      <w:r w:rsidRPr="008F3E1D">
        <w:rPr>
          <w:rFonts w:ascii="Century Schoolbook" w:hAnsi="Century Schoolbook" w:cs="Times New Roman"/>
          <w:sz w:val="22"/>
          <w:szCs w:val="22"/>
        </w:rPr>
        <w:t xml:space="preserve">In a later chapter devoted to class actions, the </w:t>
      </w:r>
      <w:r w:rsidRPr="008C3276">
        <w:rPr>
          <w:rFonts w:ascii="Century Schoolbook" w:hAnsi="Century Schoolbook" w:cs="Times New Roman"/>
          <w:i/>
          <w:sz w:val="22"/>
          <w:szCs w:val="22"/>
        </w:rPr>
        <w:t>Manual</w:t>
      </w:r>
      <w:r w:rsidRPr="008F3E1D">
        <w:rPr>
          <w:rFonts w:ascii="Century Schoolbook" w:hAnsi="Century Schoolbook" w:cs="Times New Roman"/>
          <w:sz w:val="22"/>
          <w:szCs w:val="22"/>
        </w:rPr>
        <w:t xml:space="preserve"> provides additional guidance for appointing class counsel.</w:t>
      </w:r>
      <w:r>
        <w:rPr>
          <w:rStyle w:val="FootnoteReference"/>
          <w:rFonts w:ascii="Century Schoolbook" w:hAnsi="Century Schoolbook" w:cs="Times New Roman"/>
          <w:sz w:val="22"/>
          <w:szCs w:val="22"/>
        </w:rPr>
        <w:footnoteReference w:id="74"/>
      </w:r>
      <w:r w:rsidRPr="008F3E1D">
        <w:rPr>
          <w:rFonts w:ascii="Century Schoolbook" w:hAnsi="Century Schoolbook" w:cs="Times New Roman"/>
          <w:sz w:val="22"/>
          <w:szCs w:val="22"/>
        </w:rPr>
        <w:t xml:space="preserve">  After reciting the Rule 23(g) factors, the </w:t>
      </w:r>
      <w:r w:rsidRPr="008C3276">
        <w:rPr>
          <w:rFonts w:ascii="Century Schoolbook" w:hAnsi="Century Schoolbook" w:cs="Times New Roman"/>
          <w:i/>
          <w:sz w:val="22"/>
          <w:szCs w:val="22"/>
        </w:rPr>
        <w:t>Manual</w:t>
      </w:r>
      <w:r w:rsidRPr="008F3E1D">
        <w:rPr>
          <w:rFonts w:ascii="Century Schoolbook" w:hAnsi="Century Schoolbook" w:cs="Times New Roman"/>
          <w:sz w:val="22"/>
          <w:szCs w:val="22"/>
        </w:rPr>
        <w:t xml:space="preserve"> adds that such factors as involvement in parallel litigation, an attorney-client relationship with a named party, and fee and expense arrangements may also be relevant considerations.</w:t>
      </w:r>
      <w:r>
        <w:rPr>
          <w:rStyle w:val="FootnoteReference"/>
          <w:rFonts w:ascii="Century Schoolbook" w:hAnsi="Century Schoolbook" w:cs="Times New Roman"/>
          <w:sz w:val="22"/>
          <w:szCs w:val="22"/>
        </w:rPr>
        <w:footnoteReference w:id="75"/>
      </w:r>
      <w:r w:rsidRPr="008F3E1D">
        <w:rPr>
          <w:rFonts w:ascii="Century Schoolbook" w:hAnsi="Century Schoolbook" w:cs="Times New Roman"/>
          <w:sz w:val="22"/>
          <w:szCs w:val="22"/>
        </w:rPr>
        <w:t xml:space="preserve">  The </w:t>
      </w:r>
      <w:r w:rsidRPr="008C3276">
        <w:rPr>
          <w:rFonts w:ascii="Century Schoolbook" w:hAnsi="Century Schoolbook" w:cs="Times New Roman"/>
          <w:i/>
          <w:sz w:val="22"/>
          <w:szCs w:val="22"/>
        </w:rPr>
        <w:t>Manual</w:t>
      </w:r>
      <w:r w:rsidRPr="008F3E1D">
        <w:rPr>
          <w:rFonts w:ascii="Century Schoolbook" w:hAnsi="Century Schoolbook" w:cs="Times New Roman"/>
          <w:sz w:val="22"/>
          <w:szCs w:val="22"/>
        </w:rPr>
        <w:t xml:space="preserve"> goes on to outline various approaches to appointment of class counsel, including “private ordering”, a selective application process, and competitive bidding in certain circumstances.</w:t>
      </w:r>
      <w:r>
        <w:rPr>
          <w:rStyle w:val="FootnoteReference"/>
          <w:rFonts w:ascii="Century Schoolbook" w:hAnsi="Century Schoolbook" w:cs="Times New Roman"/>
          <w:sz w:val="22"/>
          <w:szCs w:val="22"/>
        </w:rPr>
        <w:footnoteReference w:id="76"/>
      </w:r>
      <w:r w:rsidRPr="008F3E1D">
        <w:rPr>
          <w:rFonts w:ascii="Century Schoolbook" w:hAnsi="Century Schoolbook" w:cs="Times New Roman"/>
          <w:sz w:val="22"/>
          <w:szCs w:val="22"/>
        </w:rPr>
        <w:t xml:space="preserve">  In recommending best practices, we should advocate an approach that requires the active involvement of the court in vetting each attorney appointed to serve as class counsel, rather than passively accepting “privately-ordered” slates of repeat players.</w:t>
      </w:r>
    </w:p>
    <w:p w:rsidR="00625B3F" w:rsidRPr="008F3E1D" w:rsidRDefault="00625B3F" w:rsidP="00625B3F">
      <w:pPr>
        <w:pStyle w:val="ListParagraph"/>
        <w:numPr>
          <w:ilvl w:val="3"/>
          <w:numId w:val="4"/>
        </w:numPr>
        <w:spacing w:line="360" w:lineRule="auto"/>
        <w:ind w:left="1080"/>
        <w:rPr>
          <w:rFonts w:ascii="Century Schoolbook" w:hAnsi="Century Schoolbook" w:cs="Times New Roman"/>
          <w:b/>
          <w:i/>
          <w:sz w:val="22"/>
          <w:szCs w:val="22"/>
        </w:rPr>
      </w:pPr>
      <w:r w:rsidRPr="008F3E1D">
        <w:rPr>
          <w:rFonts w:ascii="Century Schoolbook" w:hAnsi="Century Schoolbook" w:cs="Times New Roman"/>
          <w:b/>
          <w:i/>
          <w:sz w:val="22"/>
          <w:szCs w:val="22"/>
        </w:rPr>
        <w:t>Duke MDL Standards and Best Practices</w:t>
      </w:r>
    </w:p>
    <w:p w:rsidR="00625B3F" w:rsidRPr="008F3E1D" w:rsidRDefault="00625B3F" w:rsidP="00625B3F">
      <w:pPr>
        <w:spacing w:line="360" w:lineRule="auto"/>
        <w:ind w:firstLine="720"/>
        <w:rPr>
          <w:rFonts w:ascii="Century Schoolbook" w:hAnsi="Century Schoolbook" w:cs="Times New Roman"/>
          <w:sz w:val="22"/>
          <w:szCs w:val="22"/>
        </w:rPr>
      </w:pPr>
      <w:r w:rsidRPr="008F3E1D">
        <w:rPr>
          <w:rFonts w:ascii="Century Schoolbook" w:hAnsi="Century Schoolbook" w:cs="Times New Roman"/>
          <w:sz w:val="22"/>
          <w:szCs w:val="22"/>
        </w:rPr>
        <w:t xml:space="preserve">In 2013, Duke Law School’s Center for Judicial Studies </w:t>
      </w:r>
      <w:r>
        <w:rPr>
          <w:rFonts w:ascii="Century Schoolbook" w:hAnsi="Century Schoolbook" w:cs="Times New Roman"/>
          <w:sz w:val="22"/>
          <w:szCs w:val="22"/>
        </w:rPr>
        <w:t xml:space="preserve">(now the </w:t>
      </w:r>
      <w:proofErr w:type="spellStart"/>
      <w:r>
        <w:rPr>
          <w:rFonts w:ascii="Century Schoolbook" w:hAnsi="Century Schoolbook" w:cs="Times New Roman"/>
          <w:sz w:val="22"/>
          <w:szCs w:val="22"/>
        </w:rPr>
        <w:t>Bolch</w:t>
      </w:r>
      <w:proofErr w:type="spellEnd"/>
      <w:r>
        <w:rPr>
          <w:rFonts w:ascii="Century Schoolbook" w:hAnsi="Century Schoolbook" w:cs="Times New Roman"/>
          <w:sz w:val="22"/>
          <w:szCs w:val="22"/>
        </w:rPr>
        <w:t xml:space="preserve"> Judicial Institute) </w:t>
      </w:r>
      <w:r w:rsidRPr="008F3E1D">
        <w:rPr>
          <w:rFonts w:ascii="Century Schoolbook" w:hAnsi="Century Schoolbook" w:cs="Times New Roman"/>
          <w:sz w:val="22"/>
          <w:szCs w:val="22"/>
        </w:rPr>
        <w:t xml:space="preserve">held a conference on MDL actions.  The purpose of the conference was to identify consensus positions that could be developed into standards and best practices for the efficient and effective litigation of MDL actions.  As a result of that conference and following the input of numerous federal and state judges and prominent defense and plaintiff practitioners, the Center published </w:t>
      </w:r>
      <w:r w:rsidRPr="00B72636">
        <w:rPr>
          <w:rFonts w:ascii="Century Schoolbook" w:hAnsi="Century Schoolbook" w:cs="Times New Roman"/>
          <w:i/>
          <w:sz w:val="22"/>
          <w:szCs w:val="22"/>
        </w:rPr>
        <w:t>Standards and Best Practices for Large and Mass-Tort MDL</w:t>
      </w:r>
      <w:r>
        <w:rPr>
          <w:rFonts w:ascii="Century Schoolbook" w:hAnsi="Century Schoolbook" w:cs="Times New Roman"/>
          <w:i/>
          <w:sz w:val="22"/>
          <w:szCs w:val="22"/>
        </w:rPr>
        <w:t>s</w:t>
      </w:r>
      <w:r w:rsidRPr="00B72636">
        <w:rPr>
          <w:rFonts w:ascii="Century Schoolbook" w:hAnsi="Century Schoolbook" w:cs="Times New Roman"/>
          <w:i/>
          <w:sz w:val="22"/>
          <w:szCs w:val="22"/>
        </w:rPr>
        <w:t xml:space="preserve"> (Standards and Best Practices</w:t>
      </w:r>
      <w:r w:rsidRPr="008F3E1D">
        <w:rPr>
          <w:rFonts w:ascii="Century Schoolbook" w:hAnsi="Century Schoolbook" w:cs="Times New Roman"/>
          <w:sz w:val="22"/>
          <w:szCs w:val="22"/>
        </w:rPr>
        <w:t>).</w:t>
      </w:r>
      <w:bookmarkStart w:id="13" w:name="_Ref510792607"/>
      <w:r>
        <w:rPr>
          <w:rStyle w:val="FootnoteReference"/>
          <w:rFonts w:ascii="Century Schoolbook" w:hAnsi="Century Schoolbook" w:cs="Times New Roman"/>
          <w:sz w:val="22"/>
          <w:szCs w:val="22"/>
        </w:rPr>
        <w:footnoteReference w:id="77"/>
      </w:r>
      <w:bookmarkEnd w:id="13"/>
      <w:r w:rsidRPr="008F3E1D">
        <w:rPr>
          <w:rFonts w:ascii="Century Schoolbook" w:hAnsi="Century Schoolbook" w:cs="Times New Roman"/>
          <w:sz w:val="22"/>
          <w:szCs w:val="22"/>
        </w:rPr>
        <w:t xml:space="preserve">  </w:t>
      </w:r>
    </w:p>
    <w:p w:rsidR="00625B3F" w:rsidRPr="008F3E1D" w:rsidRDefault="00625B3F" w:rsidP="00625B3F">
      <w:pPr>
        <w:spacing w:line="360" w:lineRule="auto"/>
        <w:ind w:firstLine="720"/>
        <w:rPr>
          <w:rFonts w:ascii="Century Schoolbook" w:hAnsi="Century Schoolbook" w:cs="Times New Roman"/>
          <w:sz w:val="22"/>
          <w:szCs w:val="22"/>
        </w:rPr>
      </w:pPr>
      <w:r w:rsidRPr="008F3E1D">
        <w:rPr>
          <w:rFonts w:ascii="Century Schoolbook" w:hAnsi="Century Schoolbook" w:cs="Times New Roman"/>
          <w:sz w:val="22"/>
          <w:szCs w:val="22"/>
        </w:rPr>
        <w:t xml:space="preserve">Chapter 2 of </w:t>
      </w:r>
      <w:r w:rsidRPr="00B72636">
        <w:rPr>
          <w:rFonts w:ascii="Century Schoolbook" w:hAnsi="Century Schoolbook" w:cs="Times New Roman"/>
          <w:i/>
          <w:sz w:val="22"/>
          <w:szCs w:val="22"/>
        </w:rPr>
        <w:t>Standards and Best Practices</w:t>
      </w:r>
      <w:r w:rsidRPr="008F3E1D">
        <w:rPr>
          <w:rFonts w:ascii="Century Schoolbook" w:hAnsi="Century Schoolbook" w:cs="Times New Roman"/>
          <w:sz w:val="22"/>
          <w:szCs w:val="22"/>
        </w:rPr>
        <w:t xml:space="preserve"> is devoted to the selection and appointment of leadership in MDLs, with three Standards</w:t>
      </w:r>
      <w:r w:rsidRPr="008F3E1D">
        <w:rPr>
          <w:rFonts w:ascii="Century Schoolbook" w:hAnsi="Century Schoolbook" w:cs="Times New Roman"/>
          <w:sz w:val="22"/>
          <w:szCs w:val="22"/>
          <w:vertAlign w:val="superscript"/>
        </w:rPr>
        <w:footnoteReference w:id="78"/>
      </w:r>
      <w:r w:rsidRPr="008F3E1D">
        <w:rPr>
          <w:rFonts w:ascii="Century Schoolbook" w:hAnsi="Century Schoolbook" w:cs="Times New Roman"/>
          <w:sz w:val="22"/>
          <w:szCs w:val="22"/>
        </w:rPr>
        <w:t xml:space="preserve"> and numerous proposed Best Practices.  It includes several recommendations that potentially impact the likelihood that women and </w:t>
      </w:r>
      <w:r>
        <w:rPr>
          <w:rFonts w:ascii="Century Schoolbook" w:hAnsi="Century Schoolbook" w:cs="Times New Roman"/>
          <w:sz w:val="22"/>
          <w:szCs w:val="22"/>
        </w:rPr>
        <w:t>diverse</w:t>
      </w:r>
      <w:r w:rsidRPr="008F3E1D">
        <w:rPr>
          <w:rFonts w:ascii="Century Schoolbook" w:hAnsi="Century Schoolbook" w:cs="Times New Roman"/>
          <w:sz w:val="22"/>
          <w:szCs w:val="22"/>
        </w:rPr>
        <w:t xml:space="preserve"> applicants will be appointed to leadership positions.  It recommends, for example, that the transferee judge order eschew private ordering in favor of a competitive process requiring individual applications.  This can reduce the so-called repeat</w:t>
      </w:r>
      <w:r>
        <w:rPr>
          <w:rFonts w:ascii="Century Schoolbook" w:hAnsi="Century Schoolbook" w:cs="Times New Roman"/>
          <w:sz w:val="22"/>
          <w:szCs w:val="22"/>
        </w:rPr>
        <w:t>-</w:t>
      </w:r>
      <w:r w:rsidRPr="008F3E1D">
        <w:rPr>
          <w:rFonts w:ascii="Century Schoolbook" w:hAnsi="Century Schoolbook" w:cs="Times New Roman"/>
          <w:sz w:val="22"/>
          <w:szCs w:val="22"/>
        </w:rPr>
        <w:t>player</w:t>
      </w:r>
      <w:r>
        <w:rPr>
          <w:rFonts w:ascii="Century Schoolbook" w:hAnsi="Century Schoolbook" w:cs="Times New Roman"/>
          <w:sz w:val="22"/>
          <w:szCs w:val="22"/>
        </w:rPr>
        <w:t xml:space="preserve"> </w:t>
      </w:r>
      <w:r w:rsidRPr="008F3E1D">
        <w:rPr>
          <w:rFonts w:ascii="Century Schoolbook" w:hAnsi="Century Schoolbook" w:cs="Times New Roman"/>
          <w:sz w:val="22"/>
          <w:szCs w:val="22"/>
        </w:rPr>
        <w:t>dynamic, which is an obstacle to women and minorities (see above).  It also urges judges to “be mindful of the benefits of diversity of all types.”</w:t>
      </w:r>
      <w:r>
        <w:rPr>
          <w:rStyle w:val="FootnoteReference"/>
          <w:rFonts w:ascii="Century Schoolbook" w:hAnsi="Century Schoolbook" w:cs="Times New Roman"/>
          <w:sz w:val="22"/>
          <w:szCs w:val="22"/>
        </w:rPr>
        <w:footnoteReference w:id="79"/>
      </w:r>
      <w:r w:rsidRPr="008F3E1D">
        <w:rPr>
          <w:rFonts w:ascii="Century Schoolbook" w:hAnsi="Century Schoolbook" w:cs="Times New Roman"/>
          <w:sz w:val="22"/>
          <w:szCs w:val="22"/>
        </w:rPr>
        <w:t xml:space="preserve">  </w:t>
      </w:r>
    </w:p>
    <w:p w:rsidR="00625B3F" w:rsidRDefault="00625B3F" w:rsidP="00625B3F">
      <w:pPr>
        <w:spacing w:line="360" w:lineRule="auto"/>
        <w:ind w:firstLine="720"/>
        <w:rPr>
          <w:rFonts w:ascii="Century Schoolbook" w:hAnsi="Century Schoolbook" w:cs="Times New Roman"/>
          <w:sz w:val="22"/>
          <w:szCs w:val="22"/>
        </w:rPr>
      </w:pPr>
      <w:r w:rsidRPr="008F3E1D">
        <w:rPr>
          <w:rFonts w:ascii="Century Schoolbook" w:hAnsi="Century Schoolbook" w:cs="Times New Roman"/>
          <w:sz w:val="22"/>
          <w:szCs w:val="22"/>
        </w:rPr>
        <w:t xml:space="preserve">Of particular interest to advancing the cause of increasing the number of women and </w:t>
      </w:r>
      <w:r>
        <w:rPr>
          <w:rFonts w:ascii="Century Schoolbook" w:hAnsi="Century Schoolbook" w:cs="Times New Roman"/>
          <w:sz w:val="22"/>
          <w:szCs w:val="22"/>
        </w:rPr>
        <w:t>diverse</w:t>
      </w:r>
      <w:r w:rsidRPr="008F3E1D">
        <w:rPr>
          <w:rFonts w:ascii="Century Schoolbook" w:hAnsi="Century Schoolbook" w:cs="Times New Roman"/>
          <w:sz w:val="22"/>
          <w:szCs w:val="22"/>
        </w:rPr>
        <w:t xml:space="preserve"> leadership appointments, </w:t>
      </w:r>
      <w:r w:rsidRPr="009502A9">
        <w:rPr>
          <w:rFonts w:ascii="Century Schoolbook" w:hAnsi="Century Schoolbook" w:cs="Times New Roman"/>
          <w:i/>
          <w:sz w:val="22"/>
          <w:szCs w:val="22"/>
        </w:rPr>
        <w:t>Best Practice</w:t>
      </w:r>
      <w:r w:rsidRPr="008F3E1D">
        <w:rPr>
          <w:rFonts w:ascii="Century Schoolbook" w:hAnsi="Century Schoolbook" w:cs="Times New Roman"/>
          <w:sz w:val="22"/>
          <w:szCs w:val="22"/>
        </w:rPr>
        <w:t xml:space="preserve"> 4E recommends: “The transferee judge should take into account whether the leadership team adequately reflects the diversity of legal talent available and the requirements of the case.”</w:t>
      </w:r>
      <w:r>
        <w:rPr>
          <w:rStyle w:val="FootnoteReference"/>
          <w:rFonts w:ascii="Century Schoolbook" w:hAnsi="Century Schoolbook" w:cs="Times New Roman"/>
          <w:sz w:val="22"/>
          <w:szCs w:val="22"/>
        </w:rPr>
        <w:footnoteReference w:id="80"/>
      </w:r>
      <w:r w:rsidRPr="008F3E1D">
        <w:rPr>
          <w:rFonts w:ascii="Century Schoolbook" w:hAnsi="Century Schoolbook" w:cs="Times New Roman"/>
          <w:sz w:val="22"/>
          <w:szCs w:val="22"/>
        </w:rPr>
        <w:t xml:space="preserve">  In order to expand this Best Practice </w:t>
      </w:r>
      <w:r>
        <w:rPr>
          <w:rFonts w:ascii="Century Schoolbook" w:hAnsi="Century Schoolbook" w:cs="Times New Roman"/>
          <w:sz w:val="22"/>
          <w:szCs w:val="22"/>
        </w:rPr>
        <w:t xml:space="preserve">to reach class actions in addition to </w:t>
      </w:r>
      <w:r w:rsidRPr="008F3E1D">
        <w:rPr>
          <w:rFonts w:ascii="Century Schoolbook" w:hAnsi="Century Schoolbook" w:cs="Times New Roman"/>
          <w:sz w:val="22"/>
          <w:szCs w:val="22"/>
        </w:rPr>
        <w:t>mass tort MDLs,</w:t>
      </w:r>
      <w:bookmarkStart w:id="14" w:name="_Ref510618808"/>
      <w:r w:rsidRPr="008F3E1D">
        <w:rPr>
          <w:rStyle w:val="FootnoteReference"/>
          <w:rFonts w:ascii="Century Schoolbook" w:hAnsi="Century Schoolbook" w:cs="Times New Roman"/>
          <w:sz w:val="22"/>
          <w:szCs w:val="22"/>
        </w:rPr>
        <w:footnoteReference w:id="81"/>
      </w:r>
      <w:bookmarkEnd w:id="14"/>
      <w:r w:rsidRPr="008F3E1D">
        <w:rPr>
          <w:rFonts w:ascii="Century Schoolbook" w:hAnsi="Century Schoolbook" w:cs="Times New Roman"/>
          <w:sz w:val="22"/>
          <w:szCs w:val="22"/>
        </w:rPr>
        <w:t xml:space="preserve"> </w:t>
      </w:r>
      <w:r>
        <w:rPr>
          <w:rFonts w:ascii="Century Schoolbook" w:hAnsi="Century Schoolbook" w:cs="Times New Roman"/>
          <w:sz w:val="22"/>
          <w:szCs w:val="22"/>
        </w:rPr>
        <w:t xml:space="preserve">a new </w:t>
      </w:r>
      <w:r w:rsidRPr="004D1D54">
        <w:rPr>
          <w:rFonts w:ascii="Century Schoolbook" w:hAnsi="Century Schoolbook" w:cs="Times New Roman"/>
          <w:smallCaps/>
          <w:sz w:val="22"/>
          <w:szCs w:val="22"/>
        </w:rPr>
        <w:t>Best Practice 8I</w:t>
      </w:r>
      <w:r>
        <w:rPr>
          <w:rFonts w:ascii="Century Schoolbook" w:hAnsi="Century Schoolbook" w:cs="Times New Roman"/>
          <w:sz w:val="22"/>
          <w:szCs w:val="22"/>
        </w:rPr>
        <w:t xml:space="preserve"> is set out in a later section. </w:t>
      </w:r>
    </w:p>
    <w:p w:rsidR="009F1C57" w:rsidRDefault="009F1C57"/>
    <w:sectPr w:rsidR="009F1C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B3F" w:rsidRDefault="00625B3F" w:rsidP="00625B3F">
      <w:r>
        <w:separator/>
      </w:r>
    </w:p>
  </w:endnote>
  <w:endnote w:type="continuationSeparator" w:id="0">
    <w:p w:rsidR="00625B3F" w:rsidRDefault="00625B3F" w:rsidP="0062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B3F" w:rsidRDefault="00625B3F" w:rsidP="00625B3F">
      <w:r>
        <w:separator/>
      </w:r>
    </w:p>
  </w:footnote>
  <w:footnote w:type="continuationSeparator" w:id="0">
    <w:p w:rsidR="00625B3F" w:rsidRDefault="00625B3F" w:rsidP="00625B3F">
      <w:r>
        <w:continuationSeparator/>
      </w:r>
    </w:p>
  </w:footnote>
  <w:footnote w:id="1">
    <w:p w:rsidR="00625B3F" w:rsidRPr="003541F9" w:rsidRDefault="00625B3F" w:rsidP="00625B3F">
      <w:pPr>
        <w:pStyle w:val="FootnoteText"/>
        <w:jc w:val="both"/>
        <w:rPr>
          <w:rFonts w:ascii="Century Schoolbook" w:hAnsi="Century Schoolbook" w:cs="Times New Roman"/>
        </w:rPr>
      </w:pPr>
      <w:r w:rsidRPr="003541F9">
        <w:rPr>
          <w:rStyle w:val="FootnoteReference"/>
          <w:rFonts w:ascii="Century Schoolbook" w:hAnsi="Century Schoolbook" w:cs="Times New Roman"/>
        </w:rPr>
        <w:footnoteRef/>
      </w:r>
      <w:r w:rsidRPr="003541F9">
        <w:rPr>
          <w:rFonts w:ascii="Century Schoolbook" w:hAnsi="Century Schoolbook" w:cs="Times New Roman"/>
        </w:rPr>
        <w:t xml:space="preserve"> </w:t>
      </w:r>
      <w:r w:rsidRPr="003541F9">
        <w:rPr>
          <w:rFonts w:ascii="Century Schoolbook" w:hAnsi="Century Schoolbook" w:cs="Times New Roman"/>
          <w:smallCaps/>
        </w:rPr>
        <w:t xml:space="preserve">Stephanie A. Scharf &amp; Roberta D. Liebenberg, Am. Bar </w:t>
      </w:r>
      <w:proofErr w:type="spellStart"/>
      <w:r w:rsidRPr="003541F9">
        <w:rPr>
          <w:rFonts w:ascii="Century Schoolbook" w:hAnsi="Century Schoolbook" w:cs="Times New Roman"/>
          <w:smallCaps/>
        </w:rPr>
        <w:t>Ass’n</w:t>
      </w:r>
      <w:proofErr w:type="spellEnd"/>
      <w:r w:rsidRPr="003541F9">
        <w:rPr>
          <w:rFonts w:ascii="Century Schoolbook" w:hAnsi="Century Schoolbook" w:cs="Times New Roman"/>
          <w:smallCaps/>
        </w:rPr>
        <w:t>, First Chairs at Trial: More Women Need Seats at the Table 10 (</w:t>
      </w:r>
      <w:r w:rsidRPr="003541F9">
        <w:rPr>
          <w:rFonts w:ascii="Century Schoolbook" w:hAnsi="Century Schoolbook" w:cs="Times New Roman"/>
        </w:rPr>
        <w:t xml:space="preserve">Am. Bar </w:t>
      </w:r>
      <w:proofErr w:type="spellStart"/>
      <w:r w:rsidRPr="003541F9">
        <w:rPr>
          <w:rFonts w:ascii="Century Schoolbook" w:hAnsi="Century Schoolbook" w:cs="Times New Roman"/>
        </w:rPr>
        <w:t>Ass’n</w:t>
      </w:r>
      <w:proofErr w:type="spellEnd"/>
      <w:r w:rsidRPr="003541F9">
        <w:rPr>
          <w:rFonts w:ascii="Century Schoolbook" w:hAnsi="Century Schoolbook" w:cs="Times New Roman"/>
        </w:rPr>
        <w:t xml:space="preserve"> 2015</w:t>
      </w:r>
      <w:r w:rsidRPr="003541F9">
        <w:rPr>
          <w:rFonts w:ascii="Century Schoolbook" w:hAnsi="Century Schoolbook" w:cs="Times New Roman"/>
          <w:smallCaps/>
        </w:rPr>
        <w:t xml:space="preserve">), </w:t>
      </w:r>
      <w:r w:rsidRPr="003541F9">
        <w:rPr>
          <w:rFonts w:ascii="Century Schoolbook" w:hAnsi="Century Schoolbook" w:cs="Times New Roman"/>
        </w:rPr>
        <w:t>https://www.americanbar.org/content/</w:t>
      </w:r>
      <w:r w:rsidRPr="002D52D3">
        <w:rPr>
          <w:rFonts w:ascii="Century Schoolbook" w:hAnsi="Century Schoolbook" w:cs="Times New Roman"/>
        </w:rPr>
        <w:br/>
      </w:r>
      <w:r w:rsidRPr="003541F9">
        <w:rPr>
          <w:rFonts w:ascii="Century Schoolbook" w:hAnsi="Century Schoolbook" w:cs="Times New Roman"/>
        </w:rPr>
        <w:t>dam/aba/marketing/women/first_chairs2015.authcheckdam.pd</w:t>
      </w:r>
      <w:r w:rsidRPr="002D52D3">
        <w:rPr>
          <w:rFonts w:ascii="Century Schoolbook" w:hAnsi="Century Schoolbook" w:cs="Times New Roman"/>
        </w:rPr>
        <w:t>f</w:t>
      </w:r>
      <w:r w:rsidRPr="003541F9">
        <w:rPr>
          <w:rFonts w:ascii="Century Schoolbook" w:hAnsi="Century Schoolbook" w:cs="Times New Roman"/>
        </w:rPr>
        <w:t xml:space="preserve">. </w:t>
      </w:r>
    </w:p>
  </w:footnote>
  <w:footnote w:id="2">
    <w:p w:rsidR="00625B3F" w:rsidRPr="003541F9" w:rsidRDefault="00625B3F" w:rsidP="00625B3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i/>
        </w:rPr>
        <w:t>Id.</w:t>
      </w:r>
    </w:p>
  </w:footnote>
  <w:footnote w:id="3">
    <w:p w:rsidR="00625B3F" w:rsidRPr="003541F9" w:rsidRDefault="00625B3F" w:rsidP="00625B3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2D52D3">
        <w:rPr>
          <w:rFonts w:ascii="Century Schoolbook" w:hAnsi="Century Schoolbook" w:cs="Times New Roman"/>
          <w:smallCaps/>
        </w:rPr>
        <w:t xml:space="preserve">N.Y. State Bar </w:t>
      </w:r>
      <w:proofErr w:type="spellStart"/>
      <w:r w:rsidRPr="002D52D3">
        <w:rPr>
          <w:rFonts w:ascii="Century Schoolbook" w:hAnsi="Century Schoolbook" w:cs="Times New Roman"/>
          <w:smallCaps/>
        </w:rPr>
        <w:t>Ass’n</w:t>
      </w:r>
      <w:proofErr w:type="spellEnd"/>
      <w:r w:rsidRPr="002D52D3">
        <w:rPr>
          <w:rFonts w:ascii="Century Schoolbook" w:hAnsi="Century Schoolbook" w:cs="Times New Roman"/>
          <w:smallCaps/>
        </w:rPr>
        <w:t>, Task Force on Women’s Initiative</w:t>
      </w:r>
      <w:r w:rsidRPr="002D52D3">
        <w:rPr>
          <w:rFonts w:ascii="Century Schoolbook" w:hAnsi="Century Schoolbook" w:cs="Times New Roman"/>
        </w:rPr>
        <w:t xml:space="preserve">, </w:t>
      </w:r>
      <w:r w:rsidRPr="002D52D3">
        <w:rPr>
          <w:rFonts w:ascii="Century Schoolbook" w:hAnsi="Century Schoolbook" w:cs="Times New Roman"/>
          <w:smallCaps/>
        </w:rPr>
        <w:t>If Not Now, When? Achieving Equality for Women Attorneys in the Courtroom and in ADR</w:t>
      </w:r>
      <w:r w:rsidRPr="002D52D3">
        <w:rPr>
          <w:rFonts w:ascii="Century Schoolbook" w:hAnsi="Century Schoolbook" w:cs="Times New Roman"/>
        </w:rPr>
        <w:t xml:space="preserve"> 14 (2017), www.nysba.org/WomensTaskForceReport [hereinafter </w:t>
      </w:r>
      <w:r w:rsidRPr="002D52D3">
        <w:rPr>
          <w:rFonts w:ascii="Century Schoolbook" w:hAnsi="Century Schoolbook" w:cs="Times New Roman"/>
          <w:smallCaps/>
        </w:rPr>
        <w:t>NYSBA Report</w:t>
      </w:r>
      <w:r w:rsidRPr="002D52D3">
        <w:rPr>
          <w:rFonts w:ascii="Century Schoolbook" w:hAnsi="Century Schoolbook" w:cs="Times New Roman"/>
        </w:rPr>
        <w:t>].</w:t>
      </w:r>
    </w:p>
  </w:footnote>
  <w:footnote w:id="4">
    <w:p w:rsidR="00625B3F" w:rsidRPr="003541F9" w:rsidRDefault="00625B3F" w:rsidP="00625B3F">
      <w:pPr>
        <w:pStyle w:val="FootnoteText"/>
        <w:rPr>
          <w:rFonts w:ascii="Century Schoolbook" w:hAnsi="Century Schoolbook" w:cs="Times New Roman"/>
        </w:rPr>
      </w:pPr>
      <w:r w:rsidRPr="003541F9">
        <w:rPr>
          <w:rStyle w:val="FootnoteReference"/>
          <w:rFonts w:ascii="Century Schoolbook" w:hAnsi="Century Schoolbook" w:cs="Times New Roman"/>
        </w:rPr>
        <w:footnoteRef/>
      </w:r>
      <w:r w:rsidRPr="003541F9">
        <w:rPr>
          <w:rFonts w:ascii="Century Schoolbook" w:hAnsi="Century Schoolbook" w:cs="Times New Roman"/>
        </w:rPr>
        <w:t xml:space="preserve"> Lynn </w:t>
      </w:r>
      <w:proofErr w:type="spellStart"/>
      <w:r w:rsidRPr="003541F9">
        <w:rPr>
          <w:rFonts w:ascii="Century Schoolbook" w:hAnsi="Century Schoolbook" w:cs="Times New Roman"/>
        </w:rPr>
        <w:t>Jaben</w:t>
      </w:r>
      <w:proofErr w:type="spellEnd"/>
      <w:r w:rsidRPr="003541F9">
        <w:rPr>
          <w:rFonts w:ascii="Century Schoolbook" w:hAnsi="Century Schoolbook" w:cs="Times New Roman"/>
        </w:rPr>
        <w:t xml:space="preserve"> Bratcher, </w:t>
      </w:r>
      <w:r w:rsidRPr="003541F9">
        <w:rPr>
          <w:rFonts w:ascii="Century Schoolbook" w:hAnsi="Century Schoolbook" w:cs="Times New Roman"/>
          <w:i/>
        </w:rPr>
        <w:t xml:space="preserve">Women Trial Lawyers – As Good or Better </w:t>
      </w:r>
      <w:proofErr w:type="gramStart"/>
      <w:r w:rsidRPr="003541F9">
        <w:rPr>
          <w:rFonts w:ascii="Century Schoolbook" w:hAnsi="Century Schoolbook" w:cs="Times New Roman"/>
          <w:i/>
        </w:rPr>
        <w:t>Than</w:t>
      </w:r>
      <w:proofErr w:type="gramEnd"/>
      <w:r w:rsidRPr="003541F9">
        <w:rPr>
          <w:rFonts w:ascii="Century Schoolbook" w:hAnsi="Century Schoolbook" w:cs="Times New Roman"/>
          <w:i/>
        </w:rPr>
        <w:t xml:space="preserve"> Men</w:t>
      </w:r>
      <w:r w:rsidRPr="003541F9">
        <w:rPr>
          <w:rFonts w:ascii="Century Schoolbook" w:hAnsi="Century Schoolbook" w:cs="Times New Roman"/>
        </w:rPr>
        <w:t xml:space="preserve">, </w:t>
      </w:r>
      <w:r w:rsidRPr="003541F9">
        <w:rPr>
          <w:rFonts w:ascii="Century Schoolbook" w:hAnsi="Century Schoolbook" w:cs="Times New Roman"/>
          <w:smallCaps/>
        </w:rPr>
        <w:t>Uncommon Courage</w:t>
      </w:r>
      <w:r w:rsidRPr="003541F9">
        <w:rPr>
          <w:rFonts w:ascii="Century Schoolbook" w:hAnsi="Century Schoolbook" w:cs="Times New Roman"/>
          <w:i/>
        </w:rPr>
        <w:t xml:space="preserve"> </w:t>
      </w:r>
      <w:r w:rsidRPr="003541F9">
        <w:rPr>
          <w:rFonts w:ascii="Century Schoolbook" w:hAnsi="Century Schoolbook" w:cs="Times New Roman"/>
        </w:rPr>
        <w:t>(Nov. 12, 2009), uncommoncourage.blogspot.com/2009/11/women-trial-lawyers-as-good-or-better.html.</w:t>
      </w:r>
    </w:p>
  </w:footnote>
  <w:footnote w:id="5">
    <w:p w:rsidR="00625B3F" w:rsidRPr="003541F9" w:rsidRDefault="00625B3F" w:rsidP="00625B3F">
      <w:pPr>
        <w:pStyle w:val="FootnoteText"/>
        <w:rPr>
          <w:rFonts w:ascii="Century Schoolbook" w:hAnsi="Century Schoolbook" w:cs="Times New Roman"/>
        </w:rPr>
      </w:pPr>
      <w:r w:rsidRPr="003541F9">
        <w:rPr>
          <w:rStyle w:val="FootnoteReference"/>
          <w:rFonts w:ascii="Century Schoolbook" w:hAnsi="Century Schoolbook" w:cs="Times New Roman"/>
        </w:rPr>
        <w:footnoteRef/>
      </w:r>
      <w:r w:rsidRPr="003541F9">
        <w:rPr>
          <w:rFonts w:ascii="Century Schoolbook" w:hAnsi="Century Schoolbook" w:cs="Times New Roman"/>
        </w:rPr>
        <w:t xml:space="preserve"> </w:t>
      </w:r>
      <w:r w:rsidRPr="003541F9">
        <w:rPr>
          <w:rFonts w:ascii="Century Schoolbook" w:hAnsi="Century Schoolbook" w:cs="Times New Roman"/>
          <w:i/>
        </w:rPr>
        <w:t>Id.</w:t>
      </w:r>
    </w:p>
  </w:footnote>
  <w:footnote w:id="6">
    <w:p w:rsidR="00625B3F" w:rsidRPr="003541F9" w:rsidRDefault="00625B3F" w:rsidP="00625B3F">
      <w:pPr>
        <w:pStyle w:val="FootnoteText"/>
        <w:rPr>
          <w:rFonts w:ascii="Century Schoolbook" w:hAnsi="Century Schoolbook" w:cs="Times New Roman"/>
          <w:color w:val="0563C1" w:themeColor="hyperlink"/>
          <w:u w:val="single"/>
        </w:rPr>
      </w:pPr>
      <w:r w:rsidRPr="003541F9">
        <w:rPr>
          <w:rStyle w:val="FootnoteReference"/>
          <w:rFonts w:ascii="Century Schoolbook" w:hAnsi="Century Schoolbook" w:cs="Times New Roman"/>
        </w:rPr>
        <w:footnoteRef/>
      </w:r>
      <w:r w:rsidRPr="003541F9">
        <w:rPr>
          <w:rFonts w:ascii="Century Schoolbook" w:hAnsi="Century Schoolbook" w:cs="Times New Roman"/>
        </w:rPr>
        <w:t xml:space="preserve"> </w:t>
      </w:r>
      <w:r w:rsidRPr="003541F9">
        <w:rPr>
          <w:rFonts w:ascii="Century Schoolbook" w:hAnsi="Century Schoolbook" w:cs="Times New Roman"/>
          <w:smallCaps/>
        </w:rPr>
        <w:t xml:space="preserve">Hannah Hayes, Am. Bar </w:t>
      </w:r>
      <w:proofErr w:type="spellStart"/>
      <w:r w:rsidRPr="003541F9">
        <w:rPr>
          <w:rFonts w:ascii="Century Schoolbook" w:hAnsi="Century Schoolbook" w:cs="Times New Roman"/>
          <w:smallCaps/>
        </w:rPr>
        <w:t>Ass’n</w:t>
      </w:r>
      <w:proofErr w:type="spellEnd"/>
      <w:r w:rsidRPr="003541F9">
        <w:rPr>
          <w:rFonts w:ascii="Century Schoolbook" w:hAnsi="Century Schoolbook" w:cs="Times New Roman"/>
          <w:smallCaps/>
        </w:rPr>
        <w:t xml:space="preserve">, Women Winners of the Plaintiffs’ Bar </w:t>
      </w:r>
      <w:r w:rsidRPr="003541F9">
        <w:rPr>
          <w:rFonts w:ascii="Century Schoolbook" w:hAnsi="Century Schoolbook" w:cs="Times New Roman"/>
        </w:rPr>
        <w:t>2 (2005).</w:t>
      </w:r>
    </w:p>
  </w:footnote>
  <w:footnote w:id="7">
    <w:p w:rsidR="00625B3F" w:rsidRPr="003541F9" w:rsidRDefault="00625B3F" w:rsidP="00625B3F">
      <w:pPr>
        <w:tabs>
          <w:tab w:val="left" w:pos="720"/>
        </w:tabs>
        <w:rPr>
          <w:rFonts w:ascii="Century Schoolbook" w:hAnsi="Century Schoolbook" w:cs="Times New Roman"/>
          <w:sz w:val="20"/>
          <w:szCs w:val="20"/>
        </w:rPr>
      </w:pPr>
      <w:r w:rsidRPr="003541F9">
        <w:rPr>
          <w:rStyle w:val="FootnoteReference"/>
          <w:rFonts w:ascii="Century Schoolbook" w:hAnsi="Century Schoolbook" w:cs="Times New Roman"/>
          <w:sz w:val="20"/>
          <w:szCs w:val="20"/>
        </w:rPr>
        <w:footnoteRef/>
      </w:r>
      <w:r w:rsidRPr="003541F9">
        <w:rPr>
          <w:rFonts w:ascii="Century Schoolbook" w:hAnsi="Century Schoolbook" w:cs="Times New Roman"/>
          <w:sz w:val="20"/>
          <w:szCs w:val="20"/>
        </w:rPr>
        <w:t xml:space="preserve"> Victoria Pynchon, </w:t>
      </w:r>
      <w:r w:rsidRPr="003541F9">
        <w:rPr>
          <w:rFonts w:ascii="Century Schoolbook" w:hAnsi="Century Schoolbook" w:cs="Times New Roman"/>
          <w:i/>
          <w:sz w:val="20"/>
          <w:szCs w:val="20"/>
        </w:rPr>
        <w:t>Juror Attitudes to Women in the Courtroom</w:t>
      </w:r>
      <w:r w:rsidRPr="003541F9">
        <w:rPr>
          <w:rFonts w:ascii="Century Schoolbook" w:hAnsi="Century Schoolbook" w:cs="Times New Roman"/>
          <w:sz w:val="20"/>
          <w:szCs w:val="20"/>
        </w:rPr>
        <w:t xml:space="preserve">, </w:t>
      </w:r>
      <w:r w:rsidRPr="003541F9">
        <w:rPr>
          <w:rFonts w:ascii="Century Schoolbook" w:hAnsi="Century Schoolbook" w:cs="Times New Roman"/>
          <w:smallCaps/>
          <w:sz w:val="20"/>
          <w:szCs w:val="20"/>
        </w:rPr>
        <w:t>Forbes</w:t>
      </w:r>
      <w:r w:rsidRPr="003541F9">
        <w:rPr>
          <w:rFonts w:ascii="Century Schoolbook" w:hAnsi="Century Schoolbook" w:cs="Times New Roman"/>
          <w:sz w:val="20"/>
          <w:szCs w:val="20"/>
        </w:rPr>
        <w:t xml:space="preserve"> (Feb. 15, 2012</w:t>
      </w:r>
      <w:r w:rsidRPr="002D52D3">
        <w:rPr>
          <w:rFonts w:ascii="Century Schoolbook" w:hAnsi="Century Schoolbook" w:cs="Times New Roman"/>
          <w:sz w:val="20"/>
          <w:szCs w:val="20"/>
        </w:rPr>
        <w:t>,</w:t>
      </w:r>
      <w:r w:rsidRPr="003541F9">
        <w:rPr>
          <w:rFonts w:ascii="Century Schoolbook" w:hAnsi="Century Schoolbook" w:cs="Times New Roman"/>
          <w:sz w:val="20"/>
          <w:szCs w:val="20"/>
        </w:rPr>
        <w:t xml:space="preserve"> 11:11 AM), www.forbes.com/sites/shenegotiates/2012/02/15/juror-attitudes-to-women-in-the-courtroom/.</w:t>
      </w:r>
    </w:p>
  </w:footnote>
  <w:footnote w:id="8">
    <w:p w:rsidR="00625B3F" w:rsidRPr="003541F9" w:rsidRDefault="00625B3F" w:rsidP="00625B3F">
      <w:pPr>
        <w:pStyle w:val="FootnoteText"/>
        <w:rPr>
          <w:rFonts w:ascii="Century Schoolbook" w:hAnsi="Century Schoolbook" w:cs="Times New Roman"/>
        </w:rPr>
      </w:pPr>
      <w:r w:rsidRPr="003541F9">
        <w:rPr>
          <w:rStyle w:val="FootnoteReference"/>
          <w:rFonts w:ascii="Century Schoolbook" w:hAnsi="Century Schoolbook" w:cs="Times New Roman"/>
        </w:rPr>
        <w:footnoteRef/>
      </w:r>
      <w:r w:rsidRPr="003541F9">
        <w:rPr>
          <w:rFonts w:ascii="Century Schoolbook" w:hAnsi="Century Schoolbook" w:cs="Times New Roman"/>
        </w:rPr>
        <w:t xml:space="preserve"> </w:t>
      </w:r>
      <w:r w:rsidRPr="003541F9">
        <w:rPr>
          <w:rFonts w:ascii="Century Schoolbook" w:hAnsi="Century Schoolbook" w:cs="Times New Roman"/>
          <w:smallCaps/>
        </w:rPr>
        <w:t xml:space="preserve">David B. Wilkins, Bryon Fong, &amp; </w:t>
      </w:r>
      <w:proofErr w:type="spellStart"/>
      <w:r w:rsidRPr="003541F9">
        <w:rPr>
          <w:rFonts w:ascii="Century Schoolbook" w:hAnsi="Century Schoolbook" w:cs="Times New Roman"/>
          <w:smallCaps/>
        </w:rPr>
        <w:t>Ronit</w:t>
      </w:r>
      <w:proofErr w:type="spellEnd"/>
      <w:r w:rsidRPr="003541F9">
        <w:rPr>
          <w:rFonts w:ascii="Century Schoolbook" w:hAnsi="Century Schoolbook" w:cs="Times New Roman"/>
          <w:smallCaps/>
        </w:rPr>
        <w:t xml:space="preserve"> </w:t>
      </w:r>
      <w:proofErr w:type="spellStart"/>
      <w:r w:rsidRPr="003541F9">
        <w:rPr>
          <w:rFonts w:ascii="Century Schoolbook" w:hAnsi="Century Schoolbook" w:cs="Times New Roman"/>
          <w:smallCaps/>
        </w:rPr>
        <w:t>Dinovitzer</w:t>
      </w:r>
      <w:proofErr w:type="spellEnd"/>
      <w:r w:rsidRPr="003541F9">
        <w:rPr>
          <w:rFonts w:ascii="Century Schoolbook" w:hAnsi="Century Schoolbook" w:cs="Times New Roman"/>
          <w:smallCaps/>
        </w:rPr>
        <w:t xml:space="preserve">, </w:t>
      </w:r>
      <w:proofErr w:type="spellStart"/>
      <w:r w:rsidRPr="003541F9">
        <w:rPr>
          <w:rFonts w:ascii="Century Schoolbook" w:hAnsi="Century Schoolbook" w:cs="Times New Roman"/>
          <w:smallCaps/>
        </w:rPr>
        <w:t>Harv</w:t>
      </w:r>
      <w:proofErr w:type="spellEnd"/>
      <w:r w:rsidRPr="003541F9">
        <w:rPr>
          <w:rFonts w:ascii="Century Schoolbook" w:hAnsi="Century Schoolbook" w:cs="Times New Roman"/>
          <w:smallCaps/>
        </w:rPr>
        <w:t>. L. Sch. Ctr. Legal Prof., The Women and Men of Harvard Law School: Preliminary Results from the HLS Career Study 37–38</w:t>
      </w:r>
      <w:r w:rsidRPr="003541F9">
        <w:rPr>
          <w:rFonts w:ascii="Century Schoolbook" w:hAnsi="Century Schoolbook" w:cs="Times New Roman"/>
        </w:rPr>
        <w:t xml:space="preserve"> (2015). </w:t>
      </w:r>
    </w:p>
  </w:footnote>
  <w:footnote w:id="9">
    <w:p w:rsidR="00625B3F" w:rsidRPr="003541F9" w:rsidRDefault="00625B3F" w:rsidP="00625B3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smallCaps/>
        </w:rPr>
        <w:t>Enrollment and Degrees Awarded: 1963 – 2012 Academic Years</w:t>
      </w:r>
      <w:proofErr w:type="gramStart"/>
      <w:r w:rsidRPr="003541F9">
        <w:rPr>
          <w:rFonts w:ascii="Century Schoolbook" w:hAnsi="Century Schoolbook"/>
        </w:rPr>
        <w:t xml:space="preserve">, </w:t>
      </w:r>
      <w:r w:rsidRPr="003541F9">
        <w:rPr>
          <w:rFonts w:ascii="Century Schoolbook" w:hAnsi="Century Schoolbook"/>
          <w:i/>
        </w:rPr>
        <w:t xml:space="preserve"> </w:t>
      </w:r>
      <w:r w:rsidRPr="003541F9">
        <w:rPr>
          <w:rFonts w:ascii="Century Schoolbook" w:hAnsi="Century Schoolbook"/>
        </w:rPr>
        <w:t>https</w:t>
      </w:r>
      <w:proofErr w:type="gramEnd"/>
      <w:r w:rsidRPr="003541F9">
        <w:rPr>
          <w:rFonts w:ascii="Century Schoolbook" w:hAnsi="Century Schoolbook"/>
        </w:rPr>
        <w:t xml:space="preserve">://www.americanbar.org/content/dam/aba/administrative/legal_education_and_admissions_to_the_bar/statistics/enrollment_degrees_awarded.pdf (last visited Mar. 18, 2018) [hereinafter </w:t>
      </w:r>
      <w:r w:rsidRPr="003541F9">
        <w:rPr>
          <w:rFonts w:ascii="Century Schoolbook" w:hAnsi="Century Schoolbook"/>
          <w:smallCaps/>
        </w:rPr>
        <w:t>Enrollment and Degrees Awarded</w:t>
      </w:r>
      <w:r w:rsidRPr="003541F9">
        <w:rPr>
          <w:rFonts w:ascii="Century Schoolbook" w:hAnsi="Century Schoolbook"/>
        </w:rPr>
        <w:t xml:space="preserve">]; NALP 2016 </w:t>
      </w:r>
      <w:r w:rsidRPr="003541F9">
        <w:rPr>
          <w:rFonts w:ascii="Century Schoolbook" w:hAnsi="Century Schoolbook"/>
          <w:smallCaps/>
        </w:rPr>
        <w:t>Diversity</w:t>
      </w:r>
      <w:r w:rsidRPr="003541F9">
        <w:rPr>
          <w:rFonts w:ascii="Century Schoolbook" w:hAnsi="Century Schoolbook"/>
        </w:rPr>
        <w:t xml:space="preserve">, </w:t>
      </w:r>
      <w:r w:rsidRPr="003541F9">
        <w:rPr>
          <w:rFonts w:ascii="Century Schoolbook" w:hAnsi="Century Schoolbook"/>
          <w:i/>
        </w:rPr>
        <w:t>supra</w:t>
      </w:r>
      <w:r w:rsidRPr="003541F9">
        <w:rPr>
          <w:rFonts w:ascii="Century Schoolbook" w:hAnsi="Century Schoolbook"/>
        </w:rPr>
        <w:t xml:space="preserve"> note </w:t>
      </w:r>
      <w:r w:rsidRPr="003541F9">
        <w:rPr>
          <w:rFonts w:ascii="Century Schoolbook" w:hAnsi="Century Schoolbook"/>
        </w:rPr>
        <w:fldChar w:fldCharType="begin"/>
      </w:r>
      <w:r w:rsidRPr="003541F9">
        <w:rPr>
          <w:rFonts w:ascii="Century Schoolbook" w:hAnsi="Century Schoolbook"/>
        </w:rPr>
        <w:instrText xml:space="preserve"> NOTEREF _Ref509175185 \h </w:instrText>
      </w:r>
      <w:r w:rsidRPr="002D52D3">
        <w:rPr>
          <w:rFonts w:ascii="Century Schoolbook" w:hAnsi="Century Schoolbook"/>
        </w:rPr>
        <w:instrText xml:space="preserve"> \* MERGEFORMAT </w:instrText>
      </w:r>
      <w:r w:rsidRPr="003541F9">
        <w:rPr>
          <w:rFonts w:ascii="Century Schoolbook" w:hAnsi="Century Schoolbook"/>
        </w:rPr>
      </w:r>
      <w:r w:rsidRPr="003541F9">
        <w:rPr>
          <w:rFonts w:ascii="Century Schoolbook" w:hAnsi="Century Schoolbook"/>
        </w:rPr>
        <w:fldChar w:fldCharType="separate"/>
      </w:r>
      <w:r>
        <w:rPr>
          <w:rFonts w:ascii="Century Schoolbook" w:hAnsi="Century Schoolbook"/>
        </w:rPr>
        <w:t>10</w:t>
      </w:r>
      <w:r w:rsidRPr="003541F9">
        <w:rPr>
          <w:rFonts w:ascii="Century Schoolbook" w:hAnsi="Century Schoolbook"/>
        </w:rPr>
        <w:fldChar w:fldCharType="end"/>
      </w:r>
      <w:r w:rsidRPr="003541F9">
        <w:rPr>
          <w:rFonts w:ascii="Century Schoolbook" w:hAnsi="Century Schoolbook"/>
        </w:rPr>
        <w:t>.</w:t>
      </w:r>
    </w:p>
  </w:footnote>
  <w:footnote w:id="10">
    <w:p w:rsidR="00625B3F" w:rsidRPr="003541F9" w:rsidRDefault="00625B3F" w:rsidP="00625B3F">
      <w:pPr>
        <w:pStyle w:val="FootnoteText"/>
        <w:rPr>
          <w:rFonts w:ascii="Century Schoolbook" w:hAnsi="Century Schoolbook" w:cs="Times New Roman"/>
        </w:rPr>
      </w:pPr>
      <w:r w:rsidRPr="003541F9">
        <w:rPr>
          <w:rStyle w:val="FootnoteReference"/>
          <w:rFonts w:ascii="Century Schoolbook" w:hAnsi="Century Schoolbook" w:cs="Times New Roman"/>
        </w:rPr>
        <w:footnoteRef/>
      </w:r>
      <w:r w:rsidRPr="003541F9">
        <w:rPr>
          <w:rFonts w:ascii="Century Schoolbook" w:hAnsi="Century Schoolbook" w:cs="Times New Roman"/>
        </w:rPr>
        <w:t xml:space="preserve"> </w:t>
      </w:r>
      <w:r w:rsidRPr="003541F9">
        <w:rPr>
          <w:rFonts w:ascii="Century Schoolbook" w:hAnsi="Century Schoolbook" w:cs="Times New Roman"/>
          <w:smallCaps/>
        </w:rPr>
        <w:t xml:space="preserve">Nat’l </w:t>
      </w:r>
      <w:proofErr w:type="spellStart"/>
      <w:r w:rsidRPr="003541F9">
        <w:rPr>
          <w:rFonts w:ascii="Century Schoolbook" w:hAnsi="Century Schoolbook" w:cs="Times New Roman"/>
          <w:smallCaps/>
        </w:rPr>
        <w:t>Ass’n</w:t>
      </w:r>
      <w:proofErr w:type="spellEnd"/>
      <w:r w:rsidRPr="003541F9">
        <w:rPr>
          <w:rFonts w:ascii="Century Schoolbook" w:hAnsi="Century Schoolbook" w:cs="Times New Roman"/>
          <w:smallCaps/>
        </w:rPr>
        <w:t xml:space="preserve"> for Law Placement, Inc., 2016 Report on Diversity in U.S. Law Firms</w:t>
      </w:r>
      <w:r w:rsidRPr="003541F9">
        <w:rPr>
          <w:rFonts w:ascii="Century Schoolbook" w:hAnsi="Century Schoolbook" w:cs="Times New Roman"/>
        </w:rPr>
        <w:t xml:space="preserve"> tbl.1 (2017) [hereinafter </w:t>
      </w:r>
      <w:r w:rsidRPr="003541F9">
        <w:rPr>
          <w:rFonts w:ascii="Century Schoolbook" w:hAnsi="Century Schoolbook" w:cs="Times New Roman"/>
          <w:smallCaps/>
        </w:rPr>
        <w:t>NALP 2016 Diversity</w:t>
      </w:r>
      <w:r w:rsidRPr="003541F9">
        <w:rPr>
          <w:rFonts w:ascii="Century Schoolbook" w:hAnsi="Century Schoolbook" w:cs="Times New Roman"/>
        </w:rPr>
        <w:t>]. “Minority women” are defined in this section as women whose race or ethnicity is black, Hispanic, American Indian/Alaskan Native, Asian, Native Hawaiian or other Pacific Islander, and those of multi-racial heritage.</w:t>
      </w:r>
    </w:p>
  </w:footnote>
  <w:footnote w:id="11">
    <w:p w:rsidR="00625B3F" w:rsidRPr="003541F9" w:rsidRDefault="00625B3F" w:rsidP="00625B3F">
      <w:pPr>
        <w:pStyle w:val="FootnoteText"/>
        <w:rPr>
          <w:rFonts w:ascii="Century Schoolbook" w:hAnsi="Century Schoolbook" w:cs="Times New Roman"/>
        </w:rPr>
      </w:pPr>
      <w:r w:rsidRPr="003541F9">
        <w:rPr>
          <w:rStyle w:val="FootnoteReference"/>
          <w:rFonts w:ascii="Century Schoolbook" w:hAnsi="Century Schoolbook" w:cs="Times New Roman"/>
        </w:rPr>
        <w:footnoteRef/>
      </w:r>
      <w:r w:rsidRPr="003541F9">
        <w:rPr>
          <w:rFonts w:ascii="Century Schoolbook" w:hAnsi="Century Schoolbook" w:cs="Times New Roman"/>
        </w:rPr>
        <w:t xml:space="preserve"> </w:t>
      </w:r>
      <w:r w:rsidRPr="003541F9">
        <w:rPr>
          <w:rFonts w:ascii="Century Schoolbook" w:hAnsi="Century Schoolbook" w:cs="Times New Roman"/>
          <w:i/>
        </w:rPr>
        <w:t>Id.</w:t>
      </w:r>
    </w:p>
  </w:footnote>
  <w:footnote w:id="12">
    <w:p w:rsidR="00625B3F" w:rsidRPr="003541F9" w:rsidRDefault="00625B3F" w:rsidP="00625B3F">
      <w:pPr>
        <w:pStyle w:val="FootnoteText"/>
        <w:rPr>
          <w:rFonts w:ascii="Century Schoolbook" w:hAnsi="Century Schoolbook" w:cs="Times New Roman"/>
        </w:rPr>
      </w:pPr>
      <w:r w:rsidRPr="003541F9">
        <w:rPr>
          <w:rStyle w:val="FootnoteReference"/>
          <w:rFonts w:ascii="Century Schoolbook" w:hAnsi="Century Schoolbook" w:cs="Times New Roman"/>
        </w:rPr>
        <w:footnoteRef/>
      </w:r>
      <w:r w:rsidRPr="003541F9">
        <w:rPr>
          <w:rFonts w:ascii="Century Schoolbook" w:hAnsi="Century Schoolbook" w:cs="Times New Roman"/>
        </w:rPr>
        <w:t xml:space="preserve"> </w:t>
      </w:r>
      <w:r w:rsidRPr="003541F9">
        <w:rPr>
          <w:rFonts w:ascii="Century Schoolbook" w:hAnsi="Century Schoolbook" w:cs="Times New Roman"/>
          <w:i/>
        </w:rPr>
        <w:t>Id.</w:t>
      </w:r>
      <w:r w:rsidRPr="003541F9">
        <w:rPr>
          <w:rFonts w:ascii="Century Schoolbook" w:hAnsi="Century Schoolbook" w:cs="Times New Roman"/>
        </w:rPr>
        <w:t xml:space="preserve"> at tbl.2.</w:t>
      </w:r>
    </w:p>
  </w:footnote>
  <w:footnote w:id="13">
    <w:p w:rsidR="00625B3F" w:rsidRPr="003541F9" w:rsidRDefault="00625B3F" w:rsidP="00625B3F">
      <w:pPr>
        <w:pStyle w:val="FootnoteText"/>
        <w:rPr>
          <w:rFonts w:ascii="Century Schoolbook" w:hAnsi="Century Schoolbook" w:cs="Times New Roman"/>
        </w:rPr>
      </w:pPr>
      <w:r w:rsidRPr="003541F9">
        <w:rPr>
          <w:rStyle w:val="FootnoteReference"/>
          <w:rFonts w:ascii="Century Schoolbook" w:hAnsi="Century Schoolbook" w:cs="Times New Roman"/>
        </w:rPr>
        <w:footnoteRef/>
      </w:r>
      <w:r w:rsidRPr="003541F9">
        <w:rPr>
          <w:rFonts w:ascii="Century Schoolbook" w:hAnsi="Century Schoolbook" w:cs="Times New Roman"/>
          <w:i/>
        </w:rPr>
        <w:t xml:space="preserve"> </w:t>
      </w:r>
      <w:r w:rsidRPr="003541F9">
        <w:rPr>
          <w:rFonts w:ascii="Century Schoolbook" w:hAnsi="Century Schoolbook" w:cs="Times New Roman"/>
          <w:smallCaps/>
        </w:rPr>
        <w:t>LGBT Representation Among Lawyers in 2016</w:t>
      </w:r>
      <w:r w:rsidRPr="003541F9">
        <w:rPr>
          <w:rFonts w:ascii="Century Schoolbook" w:hAnsi="Century Schoolbook" w:cs="Times New Roman"/>
        </w:rPr>
        <w:t>, http://www.nalp.org/0117research (last visited Mar. 18, 2018).</w:t>
      </w:r>
    </w:p>
  </w:footnote>
  <w:footnote w:id="14">
    <w:p w:rsidR="00625B3F" w:rsidRPr="003541F9" w:rsidRDefault="00625B3F" w:rsidP="00625B3F">
      <w:pPr>
        <w:pStyle w:val="FootnoteText"/>
        <w:rPr>
          <w:rFonts w:ascii="Century Schoolbook" w:hAnsi="Century Schoolbook" w:cs="Times New Roman"/>
        </w:rPr>
      </w:pPr>
      <w:r w:rsidRPr="003541F9">
        <w:rPr>
          <w:rStyle w:val="FootnoteReference"/>
          <w:rFonts w:ascii="Century Schoolbook" w:hAnsi="Century Schoolbook" w:cs="Times New Roman"/>
        </w:rPr>
        <w:footnoteRef/>
      </w:r>
      <w:r w:rsidRPr="003541F9">
        <w:rPr>
          <w:rFonts w:ascii="Century Schoolbook" w:hAnsi="Century Schoolbook" w:cs="Times New Roman"/>
        </w:rPr>
        <w:t xml:space="preserve"> </w:t>
      </w:r>
      <w:r w:rsidRPr="003541F9">
        <w:rPr>
          <w:rFonts w:ascii="Century Schoolbook" w:hAnsi="Century Schoolbook" w:cs="Times New Roman"/>
          <w:i/>
        </w:rPr>
        <w:t>Id.</w:t>
      </w:r>
    </w:p>
  </w:footnote>
  <w:footnote w:id="15">
    <w:p w:rsidR="00625B3F" w:rsidRPr="003541F9" w:rsidRDefault="00625B3F" w:rsidP="00625B3F">
      <w:pPr>
        <w:pStyle w:val="FootnoteText"/>
        <w:rPr>
          <w:rFonts w:ascii="Century Schoolbook" w:hAnsi="Century Schoolbook" w:cs="Times New Roman"/>
        </w:rPr>
      </w:pPr>
      <w:r w:rsidRPr="003541F9">
        <w:rPr>
          <w:rStyle w:val="FootnoteReference"/>
          <w:rFonts w:ascii="Century Schoolbook" w:hAnsi="Century Schoolbook" w:cs="Times New Roman"/>
        </w:rPr>
        <w:footnoteRef/>
      </w:r>
      <w:r w:rsidRPr="003541F9">
        <w:rPr>
          <w:rFonts w:ascii="Century Schoolbook" w:hAnsi="Century Schoolbook" w:cs="Times New Roman"/>
        </w:rPr>
        <w:t xml:space="preserve"> </w:t>
      </w:r>
      <w:r w:rsidRPr="003541F9">
        <w:rPr>
          <w:rFonts w:ascii="Century Schoolbook" w:hAnsi="Century Schoolbook" w:cs="Times New Roman"/>
          <w:i/>
        </w:rPr>
        <w:t>Id.</w:t>
      </w:r>
    </w:p>
  </w:footnote>
  <w:footnote w:id="16">
    <w:p w:rsidR="00625B3F" w:rsidRPr="003541F9" w:rsidRDefault="00625B3F" w:rsidP="00625B3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smallCaps/>
        </w:rPr>
        <w:t>Enrollment and Degrees Awarded</w:t>
      </w:r>
      <w:r w:rsidRPr="003541F9">
        <w:rPr>
          <w:rFonts w:ascii="Century Schoolbook" w:hAnsi="Century Schoolbook"/>
        </w:rPr>
        <w:t xml:space="preserve">, </w:t>
      </w:r>
      <w:r w:rsidRPr="003541F9">
        <w:rPr>
          <w:rFonts w:ascii="Century Schoolbook" w:hAnsi="Century Schoolbook"/>
          <w:i/>
        </w:rPr>
        <w:t>supra</w:t>
      </w:r>
      <w:r w:rsidRPr="003541F9">
        <w:rPr>
          <w:rFonts w:ascii="Century Schoolbook" w:hAnsi="Century Schoolbook"/>
        </w:rPr>
        <w:t xml:space="preserve"> note </w:t>
      </w:r>
      <w:r w:rsidRPr="003541F9">
        <w:rPr>
          <w:rFonts w:ascii="Century Schoolbook" w:hAnsi="Century Schoolbook"/>
        </w:rPr>
        <w:fldChar w:fldCharType="begin"/>
      </w:r>
      <w:r w:rsidRPr="003541F9">
        <w:rPr>
          <w:rFonts w:ascii="Century Schoolbook" w:hAnsi="Century Schoolbook"/>
        </w:rPr>
        <w:instrText xml:space="preserve"> NOTEREF _Ref509176610 \h </w:instrText>
      </w:r>
      <w:r w:rsidRPr="002D52D3">
        <w:rPr>
          <w:rFonts w:ascii="Century Schoolbook" w:hAnsi="Century Schoolbook"/>
        </w:rPr>
        <w:instrText xml:space="preserve"> \* MERGEFORMAT </w:instrText>
      </w:r>
      <w:r w:rsidRPr="003541F9">
        <w:rPr>
          <w:rFonts w:ascii="Century Schoolbook" w:hAnsi="Century Schoolbook"/>
        </w:rPr>
      </w:r>
      <w:r w:rsidRPr="003541F9">
        <w:rPr>
          <w:rFonts w:ascii="Century Schoolbook" w:hAnsi="Century Schoolbook"/>
        </w:rPr>
        <w:fldChar w:fldCharType="separate"/>
      </w:r>
      <w:r>
        <w:rPr>
          <w:rFonts w:ascii="Century Schoolbook" w:hAnsi="Century Schoolbook"/>
        </w:rPr>
        <w:t>9</w:t>
      </w:r>
      <w:r w:rsidRPr="003541F9">
        <w:rPr>
          <w:rFonts w:ascii="Century Schoolbook" w:hAnsi="Century Schoolbook"/>
        </w:rPr>
        <w:fldChar w:fldCharType="end"/>
      </w:r>
      <w:r w:rsidRPr="003541F9">
        <w:rPr>
          <w:rFonts w:ascii="Century Schoolbook" w:hAnsi="Century Schoolbook"/>
        </w:rPr>
        <w:t>.</w:t>
      </w:r>
    </w:p>
  </w:footnote>
  <w:footnote w:id="17">
    <w:p w:rsidR="00625B3F" w:rsidRPr="003541F9" w:rsidRDefault="00625B3F" w:rsidP="00625B3F">
      <w:pPr>
        <w:pStyle w:val="FootnoteText"/>
        <w:rPr>
          <w:rFonts w:ascii="Century Schoolbook" w:hAnsi="Century Schoolbook" w:cs="Times New Roman"/>
        </w:rPr>
      </w:pPr>
      <w:r w:rsidRPr="003541F9">
        <w:rPr>
          <w:rStyle w:val="FootnoteReference"/>
          <w:rFonts w:ascii="Century Schoolbook" w:hAnsi="Century Schoolbook" w:cs="Times New Roman"/>
        </w:rPr>
        <w:footnoteRef/>
      </w:r>
      <w:r w:rsidRPr="003541F9">
        <w:rPr>
          <w:rFonts w:ascii="Century Schoolbook" w:hAnsi="Century Schoolbook" w:cs="Times New Roman"/>
        </w:rPr>
        <w:t xml:space="preserve"> </w:t>
      </w:r>
      <w:r w:rsidRPr="003541F9">
        <w:rPr>
          <w:rFonts w:ascii="Century Schoolbook" w:hAnsi="Century Schoolbook" w:cs="Times New Roman"/>
          <w:smallCaps/>
        </w:rPr>
        <w:t>New Research on Employment Outcomes for Lesbian, Gay, and Bisexual Graduates</w:t>
      </w:r>
      <w:r w:rsidRPr="003541F9">
        <w:rPr>
          <w:rFonts w:ascii="Century Schoolbook" w:hAnsi="Century Schoolbook" w:cs="Times New Roman"/>
        </w:rPr>
        <w:t xml:space="preserve">, www.nalp.org/1115research (last visited Mar. 18, 2018). One interesting finding that may also impact MDL leadership opportunities is that LGBT lawyers are much more likely to take public interest jobs </w:t>
      </w:r>
      <w:r w:rsidRPr="002D52D3">
        <w:rPr>
          <w:rFonts w:ascii="Century Schoolbook" w:hAnsi="Century Schoolbook" w:cs="Times New Roman"/>
        </w:rPr>
        <w:t>––</w:t>
      </w:r>
      <w:r w:rsidRPr="003541F9">
        <w:rPr>
          <w:rFonts w:ascii="Century Schoolbook" w:hAnsi="Century Schoolbook" w:cs="Times New Roman"/>
        </w:rPr>
        <w:t xml:space="preserve"> about 16</w:t>
      </w:r>
      <w:r w:rsidRPr="002D52D3">
        <w:rPr>
          <w:rFonts w:ascii="Century Schoolbook" w:hAnsi="Century Schoolbook" w:cs="Times New Roman"/>
        </w:rPr>
        <w:t xml:space="preserve"> percent</w:t>
      </w:r>
      <w:r w:rsidRPr="003541F9">
        <w:rPr>
          <w:rFonts w:ascii="Century Schoolbook" w:hAnsi="Century Schoolbook" w:cs="Times New Roman"/>
        </w:rPr>
        <w:t xml:space="preserve"> of this group compared to 7</w:t>
      </w:r>
      <w:r w:rsidRPr="002D52D3">
        <w:rPr>
          <w:rFonts w:ascii="Century Schoolbook" w:hAnsi="Century Schoolbook" w:cs="Times New Roman"/>
        </w:rPr>
        <w:t xml:space="preserve"> percent</w:t>
      </w:r>
      <w:r w:rsidRPr="003541F9">
        <w:rPr>
          <w:rFonts w:ascii="Century Schoolbook" w:hAnsi="Century Schoolbook" w:cs="Times New Roman"/>
        </w:rPr>
        <w:t xml:space="preserve"> of graduates overall.</w:t>
      </w:r>
    </w:p>
  </w:footnote>
  <w:footnote w:id="18">
    <w:p w:rsidR="00625B3F" w:rsidRPr="003541F9" w:rsidRDefault="00625B3F" w:rsidP="00625B3F">
      <w:pPr>
        <w:pStyle w:val="FootnoteText"/>
        <w:rPr>
          <w:rFonts w:ascii="Century Schoolbook" w:hAnsi="Century Schoolbook" w:cs="Times New Roman"/>
        </w:rPr>
      </w:pPr>
      <w:r w:rsidRPr="003541F9">
        <w:rPr>
          <w:rStyle w:val="FootnoteReference"/>
          <w:rFonts w:ascii="Century Schoolbook" w:hAnsi="Century Schoolbook" w:cs="Times New Roman"/>
        </w:rPr>
        <w:footnoteRef/>
      </w:r>
      <w:r w:rsidRPr="003541F9">
        <w:rPr>
          <w:rFonts w:ascii="Century Schoolbook" w:hAnsi="Century Schoolbook" w:cs="Times New Roman"/>
        </w:rPr>
        <w:t xml:space="preserve"> </w:t>
      </w:r>
      <w:r w:rsidRPr="003541F9">
        <w:rPr>
          <w:rFonts w:ascii="Century Schoolbook" w:hAnsi="Century Schoolbook" w:cs="Times New Roman"/>
          <w:i/>
        </w:rPr>
        <w:t>Id.</w:t>
      </w:r>
    </w:p>
  </w:footnote>
  <w:footnote w:id="19">
    <w:p w:rsidR="00625B3F" w:rsidRPr="003541F9" w:rsidRDefault="00625B3F" w:rsidP="00625B3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smallCaps/>
        </w:rPr>
        <w:t>Scharf &amp; Liebenberg,</w:t>
      </w:r>
      <w:r w:rsidRPr="003541F9">
        <w:rPr>
          <w:rFonts w:ascii="Century Schoolbook" w:hAnsi="Century Schoolbook"/>
        </w:rPr>
        <w:t xml:space="preserve"> </w:t>
      </w:r>
      <w:r w:rsidRPr="003541F9">
        <w:rPr>
          <w:rFonts w:ascii="Century Schoolbook" w:hAnsi="Century Schoolbook"/>
          <w:i/>
        </w:rPr>
        <w:t>supra</w:t>
      </w:r>
      <w:r w:rsidRPr="003541F9">
        <w:rPr>
          <w:rFonts w:ascii="Century Schoolbook" w:hAnsi="Century Schoolbook"/>
        </w:rPr>
        <w:t xml:space="preserve"> note </w:t>
      </w:r>
      <w:r w:rsidRPr="003541F9">
        <w:rPr>
          <w:rFonts w:ascii="Century Schoolbook" w:hAnsi="Century Schoolbook"/>
        </w:rPr>
        <w:fldChar w:fldCharType="begin"/>
      </w:r>
      <w:r w:rsidRPr="003541F9">
        <w:rPr>
          <w:rFonts w:ascii="Century Schoolbook" w:hAnsi="Century Schoolbook"/>
        </w:rPr>
        <w:instrText xml:space="preserve"> NOTEREF _Ref509175655 \h  \* MERGEFORMAT </w:instrText>
      </w:r>
      <w:r w:rsidRPr="003541F9">
        <w:rPr>
          <w:rFonts w:ascii="Century Schoolbook" w:hAnsi="Century Schoolbook"/>
        </w:rPr>
      </w:r>
      <w:r w:rsidRPr="003541F9">
        <w:rPr>
          <w:rFonts w:ascii="Century Schoolbook" w:hAnsi="Century Schoolbook"/>
        </w:rPr>
        <w:fldChar w:fldCharType="separate"/>
      </w:r>
      <w:r>
        <w:rPr>
          <w:rFonts w:ascii="Century Schoolbook" w:hAnsi="Century Schoolbook"/>
        </w:rPr>
        <w:t>1</w:t>
      </w:r>
      <w:r w:rsidRPr="003541F9">
        <w:rPr>
          <w:rFonts w:ascii="Century Schoolbook" w:hAnsi="Century Schoolbook"/>
        </w:rPr>
        <w:fldChar w:fldCharType="end"/>
      </w:r>
      <w:r w:rsidRPr="003541F9">
        <w:rPr>
          <w:rFonts w:ascii="Century Schoolbook" w:hAnsi="Century Schoolbook"/>
        </w:rPr>
        <w:t>.</w:t>
      </w:r>
    </w:p>
  </w:footnote>
  <w:footnote w:id="20">
    <w:p w:rsidR="00625B3F" w:rsidRPr="003541F9" w:rsidRDefault="00625B3F" w:rsidP="00625B3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i/>
        </w:rPr>
        <w:t>A Current Glance at Women in the Law</w:t>
      </w:r>
      <w:r w:rsidRPr="003541F9">
        <w:rPr>
          <w:rFonts w:ascii="Century Schoolbook" w:hAnsi="Century Schoolbook"/>
        </w:rPr>
        <w:t xml:space="preserve">, published in January 2017 by the American Bar Association’s Commission on Women in the Profession, explains that women comprise 36% of all lawyers and 33% of federal district court judges. </w:t>
      </w:r>
      <w:r w:rsidRPr="003541F9">
        <w:rPr>
          <w:rFonts w:ascii="Century Schoolbook" w:hAnsi="Century Schoolbook"/>
          <w:smallCaps/>
        </w:rPr>
        <w:t xml:space="preserve">Am. Bar </w:t>
      </w:r>
      <w:proofErr w:type="spellStart"/>
      <w:r w:rsidRPr="003541F9">
        <w:rPr>
          <w:rFonts w:ascii="Century Schoolbook" w:hAnsi="Century Schoolbook"/>
          <w:smallCaps/>
        </w:rPr>
        <w:t>Ass’n</w:t>
      </w:r>
      <w:proofErr w:type="spellEnd"/>
      <w:r w:rsidRPr="003541F9">
        <w:rPr>
          <w:rFonts w:ascii="Century Schoolbook" w:hAnsi="Century Schoolbook"/>
          <w:smallCaps/>
        </w:rPr>
        <w:t>, A Current Glance at Women in the Law</w:t>
      </w:r>
      <w:r w:rsidRPr="003541F9">
        <w:rPr>
          <w:rFonts w:ascii="Century Schoolbook" w:hAnsi="Century Schoolbook"/>
        </w:rPr>
        <w:t xml:space="preserve"> 2, 5 (2017).</w:t>
      </w:r>
    </w:p>
  </w:footnote>
  <w:footnote w:id="21">
    <w:p w:rsidR="00625B3F" w:rsidRPr="003541F9" w:rsidRDefault="00625B3F" w:rsidP="00625B3F">
      <w:pPr>
        <w:pStyle w:val="FootnoteText"/>
        <w:rPr>
          <w:rFonts w:ascii="Century Schoolbook" w:hAnsi="Century Schoolbook" w:cs="Times New Roman"/>
        </w:rPr>
      </w:pPr>
      <w:r w:rsidRPr="003541F9">
        <w:rPr>
          <w:rStyle w:val="FootnoteReference"/>
          <w:rFonts w:ascii="Century Schoolbook" w:hAnsi="Century Schoolbook" w:cs="Times New Roman"/>
        </w:rPr>
        <w:footnoteRef/>
      </w:r>
      <w:r w:rsidRPr="003541F9">
        <w:rPr>
          <w:rFonts w:ascii="Century Schoolbook" w:hAnsi="Century Schoolbook" w:cs="Times New Roman"/>
        </w:rPr>
        <w:t xml:space="preserve"> Julie A. Steinberg, </w:t>
      </w:r>
      <w:r w:rsidRPr="003541F9">
        <w:rPr>
          <w:rFonts w:ascii="Century Schoolbook" w:hAnsi="Century Schoolbook" w:cs="Times New Roman"/>
          <w:i/>
        </w:rPr>
        <w:t>More Women Plaintiffs’ Lawyers Becoming Complex Litigation Leaders</w:t>
      </w:r>
      <w:r w:rsidRPr="003541F9">
        <w:rPr>
          <w:rFonts w:ascii="Century Schoolbook" w:hAnsi="Century Schoolbook" w:cs="Times New Roman"/>
        </w:rPr>
        <w:t xml:space="preserve">, </w:t>
      </w:r>
      <w:r w:rsidRPr="003541F9">
        <w:rPr>
          <w:rFonts w:ascii="Century Schoolbook" w:hAnsi="Century Schoolbook" w:cs="Times New Roman"/>
          <w:smallCaps/>
        </w:rPr>
        <w:t>Bloomberg</w:t>
      </w:r>
      <w:r w:rsidRPr="003541F9">
        <w:rPr>
          <w:rFonts w:ascii="Century Schoolbook" w:hAnsi="Century Schoolbook" w:cs="Times New Roman"/>
        </w:rPr>
        <w:t xml:space="preserve"> (Feb. 3, 2017), www.bna.com/women-plaintiffs-lawyers-n57982083338/.</w:t>
      </w:r>
    </w:p>
  </w:footnote>
  <w:footnote w:id="22">
    <w:p w:rsidR="00625B3F" w:rsidRPr="003541F9" w:rsidRDefault="00625B3F" w:rsidP="00625B3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i/>
        </w:rPr>
        <w:t>See, e.g.</w:t>
      </w:r>
      <w:r w:rsidRPr="003541F9">
        <w:rPr>
          <w:rFonts w:ascii="Century Schoolbook" w:hAnsi="Century Schoolbook"/>
        </w:rPr>
        <w:t xml:space="preserve">, </w:t>
      </w:r>
      <w:r w:rsidRPr="003541F9">
        <w:rPr>
          <w:rFonts w:ascii="Century Schoolbook" w:hAnsi="Century Schoolbook"/>
          <w:i/>
        </w:rPr>
        <w:t>id.</w:t>
      </w:r>
      <w:r w:rsidRPr="003541F9">
        <w:rPr>
          <w:rFonts w:ascii="Century Schoolbook" w:hAnsi="Century Schoolbook"/>
        </w:rPr>
        <w:t xml:space="preserve"> </w:t>
      </w:r>
      <w:r w:rsidRPr="003541F9">
        <w:rPr>
          <w:rFonts w:ascii="Century Schoolbook" w:hAnsi="Century Schoolbook" w:cs="Times New Roman"/>
        </w:rPr>
        <w:t>(</w:t>
      </w:r>
      <w:proofErr w:type="gramStart"/>
      <w:r w:rsidRPr="003541F9">
        <w:rPr>
          <w:rFonts w:ascii="Century Schoolbook" w:hAnsi="Century Schoolbook" w:cs="Times New Roman"/>
        </w:rPr>
        <w:t>citing</w:t>
      </w:r>
      <w:proofErr w:type="gramEnd"/>
      <w:r w:rsidRPr="003541F9">
        <w:rPr>
          <w:rFonts w:ascii="Century Schoolbook" w:hAnsi="Century Schoolbook" w:cs="Times New Roman"/>
        </w:rPr>
        <w:t xml:space="preserve"> Roberta Liebenberg, co-lead counsel in an antitrust suit).</w:t>
      </w:r>
    </w:p>
  </w:footnote>
  <w:footnote w:id="23">
    <w:p w:rsidR="00625B3F" w:rsidRPr="003541F9" w:rsidRDefault="00625B3F" w:rsidP="00625B3F">
      <w:pPr>
        <w:pStyle w:val="FootnoteText"/>
        <w:rPr>
          <w:rFonts w:ascii="Century Schoolbook" w:hAnsi="Century Schoolbook" w:cs="Times New Roman"/>
        </w:rPr>
      </w:pPr>
      <w:r w:rsidRPr="003541F9">
        <w:rPr>
          <w:rStyle w:val="FootnoteReference"/>
          <w:rFonts w:ascii="Century Schoolbook" w:hAnsi="Century Schoolbook" w:cs="Times New Roman"/>
        </w:rPr>
        <w:footnoteRef/>
      </w:r>
      <w:r w:rsidRPr="003541F9">
        <w:rPr>
          <w:rFonts w:ascii="Century Schoolbook" w:hAnsi="Century Schoolbook" w:cs="Times New Roman"/>
        </w:rPr>
        <w:t xml:space="preserve"> </w:t>
      </w:r>
      <w:r w:rsidRPr="003541F9">
        <w:rPr>
          <w:rFonts w:ascii="Century Schoolbook" w:hAnsi="Century Schoolbook" w:cs="Times New Roman"/>
          <w:i/>
        </w:rPr>
        <w:t>ABA Required Disclosures for 2016,</w:t>
      </w:r>
      <w:r w:rsidRPr="003541F9">
        <w:rPr>
          <w:rFonts w:ascii="Century Schoolbook" w:hAnsi="Century Schoolbook" w:cs="Times New Roman"/>
        </w:rPr>
        <w:t xml:space="preserve"> </w:t>
      </w:r>
      <w:r w:rsidRPr="003541F9">
        <w:rPr>
          <w:rFonts w:ascii="Century Schoolbook" w:hAnsi="Century Schoolbook" w:cs="Times New Roman"/>
          <w:i/>
        </w:rPr>
        <w:t>J.D. Enrollment and Ethnicity (academic year)</w:t>
      </w:r>
      <w:r w:rsidRPr="003541F9">
        <w:rPr>
          <w:rFonts w:ascii="Century Schoolbook" w:hAnsi="Century Schoolbook" w:cs="Times New Roman"/>
        </w:rPr>
        <w:t xml:space="preserve">, </w:t>
      </w:r>
      <w:r w:rsidRPr="003541F9">
        <w:rPr>
          <w:rFonts w:ascii="Century Schoolbook" w:hAnsi="Century Schoolbook" w:cs="Times New Roman"/>
          <w:smallCaps/>
        </w:rPr>
        <w:t xml:space="preserve">Am. Bar </w:t>
      </w:r>
      <w:proofErr w:type="spellStart"/>
      <w:r w:rsidRPr="003541F9">
        <w:rPr>
          <w:rFonts w:ascii="Century Schoolbook" w:hAnsi="Century Schoolbook" w:cs="Times New Roman"/>
          <w:smallCaps/>
        </w:rPr>
        <w:t>Ass’n</w:t>
      </w:r>
      <w:proofErr w:type="spellEnd"/>
      <w:r w:rsidRPr="003541F9">
        <w:rPr>
          <w:rFonts w:ascii="Century Schoolbook" w:hAnsi="Century Schoolbook" w:cs="Times New Roman"/>
        </w:rPr>
        <w:t xml:space="preserve">, http://www.abarequireddisclosures.org/ (last visited Mar. 26, 2018); </w:t>
      </w:r>
      <w:r w:rsidRPr="003541F9">
        <w:rPr>
          <w:rFonts w:ascii="Century Schoolbook" w:hAnsi="Century Schoolbook" w:cs="Times New Roman"/>
          <w:i/>
        </w:rPr>
        <w:t xml:space="preserve">see also </w:t>
      </w:r>
      <w:r w:rsidRPr="003541F9">
        <w:rPr>
          <w:rFonts w:ascii="Century Schoolbook" w:hAnsi="Century Schoolbook" w:cs="Times New Roman"/>
        </w:rPr>
        <w:t xml:space="preserve">Elizabeth Olson, </w:t>
      </w:r>
      <w:r w:rsidRPr="003541F9">
        <w:rPr>
          <w:rFonts w:ascii="Century Schoolbook" w:hAnsi="Century Schoolbook" w:cs="Times New Roman"/>
          <w:i/>
        </w:rPr>
        <w:t>Women Make Up Majority of U.S. Law Students for First Time</w:t>
      </w:r>
      <w:r w:rsidRPr="003541F9">
        <w:rPr>
          <w:rFonts w:ascii="Century Schoolbook" w:hAnsi="Century Schoolbook" w:cs="Times New Roman"/>
        </w:rPr>
        <w:t xml:space="preserve">, N.Y. </w:t>
      </w:r>
      <w:r w:rsidRPr="003541F9">
        <w:rPr>
          <w:rFonts w:ascii="Century Schoolbook" w:hAnsi="Century Schoolbook" w:cs="Times New Roman"/>
          <w:smallCaps/>
        </w:rPr>
        <w:t>Times</w:t>
      </w:r>
      <w:r w:rsidRPr="003541F9">
        <w:rPr>
          <w:rFonts w:ascii="Century Schoolbook" w:hAnsi="Century Schoolbook" w:cs="Times New Roman"/>
        </w:rPr>
        <w:t xml:space="preserve">, Dec. 16, 2016, at B4, </w:t>
      </w:r>
      <w:r w:rsidRPr="003541F9">
        <w:rPr>
          <w:rFonts w:ascii="Century Schoolbook" w:hAnsi="Century Schoolbook" w:cs="Times New Roman"/>
          <w:i/>
        </w:rPr>
        <w:t xml:space="preserve">available at </w:t>
      </w:r>
      <w:r w:rsidRPr="003541F9">
        <w:rPr>
          <w:rFonts w:ascii="Century Schoolbook" w:hAnsi="Century Schoolbook" w:cs="Times New Roman"/>
        </w:rPr>
        <w:t xml:space="preserve">www.nytimes.com/2016/12/16/business/dealbook/women-majority-of-us-law-students-first-time.html.  Data from the American Bar Association (ABA) put the number of women studying for a juris doctor degree at 55,766 nationally, compared with 55,059 men.  Women comprised 50 percent of first-year students. </w:t>
      </w:r>
      <w:r w:rsidRPr="003541F9">
        <w:rPr>
          <w:rFonts w:ascii="Century Schoolbook" w:hAnsi="Century Schoolbook" w:cs="Times New Roman"/>
          <w:i/>
        </w:rPr>
        <w:t xml:space="preserve">See </w:t>
      </w:r>
      <w:r w:rsidRPr="003541F9">
        <w:rPr>
          <w:rFonts w:ascii="Century Schoolbook" w:hAnsi="Century Schoolbook" w:cs="Times New Roman"/>
        </w:rPr>
        <w:t xml:space="preserve">ABA Required Disclosures for 2016, </w:t>
      </w:r>
      <w:r w:rsidRPr="003541F9">
        <w:rPr>
          <w:rFonts w:ascii="Century Schoolbook" w:hAnsi="Century Schoolbook" w:cs="Times New Roman"/>
          <w:i/>
        </w:rPr>
        <w:t xml:space="preserve">supra </w:t>
      </w:r>
      <w:r w:rsidRPr="003541F9">
        <w:rPr>
          <w:rFonts w:ascii="Century Schoolbook" w:hAnsi="Century Schoolbook" w:cs="Times New Roman"/>
        </w:rPr>
        <w:t>note 53.</w:t>
      </w:r>
    </w:p>
  </w:footnote>
  <w:footnote w:id="24">
    <w:p w:rsidR="00625B3F" w:rsidRPr="003541F9" w:rsidRDefault="00625B3F" w:rsidP="00625B3F">
      <w:pPr>
        <w:pStyle w:val="FootnoteText"/>
        <w:rPr>
          <w:rFonts w:ascii="Century Schoolbook" w:hAnsi="Century Schoolbook" w:cs="Times New Roman"/>
          <w:i/>
        </w:rPr>
      </w:pPr>
      <w:r w:rsidRPr="003541F9">
        <w:rPr>
          <w:rStyle w:val="FootnoteReference"/>
          <w:rFonts w:ascii="Century Schoolbook" w:hAnsi="Century Schoolbook" w:cs="Times New Roman"/>
        </w:rPr>
        <w:footnoteRef/>
      </w:r>
      <w:r w:rsidRPr="003541F9">
        <w:rPr>
          <w:rFonts w:ascii="Century Schoolbook" w:hAnsi="Century Schoolbook" w:cs="Times New Roman"/>
        </w:rPr>
        <w:t xml:space="preserve"> Hon. Shira A. Scheindlin, </w:t>
      </w:r>
      <w:r w:rsidRPr="003541F9">
        <w:rPr>
          <w:rFonts w:ascii="Century Schoolbook" w:hAnsi="Century Schoolbook" w:cs="Times New Roman"/>
          <w:i/>
        </w:rPr>
        <w:t>Female Lawyers Can Talk, Too</w:t>
      </w:r>
      <w:r w:rsidRPr="003541F9">
        <w:rPr>
          <w:rFonts w:ascii="Century Schoolbook" w:hAnsi="Century Schoolbook" w:cs="Times New Roman"/>
        </w:rPr>
        <w:t xml:space="preserve">, N.Y. </w:t>
      </w:r>
      <w:r w:rsidRPr="003541F9">
        <w:rPr>
          <w:rFonts w:ascii="Century Schoolbook" w:hAnsi="Century Schoolbook" w:cs="Times New Roman"/>
          <w:smallCaps/>
        </w:rPr>
        <w:t>Times</w:t>
      </w:r>
      <w:r w:rsidRPr="003541F9">
        <w:rPr>
          <w:rFonts w:ascii="Century Schoolbook" w:hAnsi="Century Schoolbook" w:cs="Times New Roman"/>
        </w:rPr>
        <w:t xml:space="preserve"> </w:t>
      </w:r>
      <w:r w:rsidRPr="002D52D3">
        <w:rPr>
          <w:rFonts w:ascii="Century Schoolbook" w:hAnsi="Century Schoolbook" w:cs="Times New Roman"/>
        </w:rPr>
        <w:t>(</w:t>
      </w:r>
      <w:r w:rsidRPr="003541F9">
        <w:rPr>
          <w:rFonts w:ascii="Century Schoolbook" w:hAnsi="Century Schoolbook" w:cs="Times New Roman"/>
        </w:rPr>
        <w:t>Aug. 8, 2017</w:t>
      </w:r>
      <w:r w:rsidRPr="002D52D3">
        <w:rPr>
          <w:rFonts w:ascii="Century Schoolbook" w:hAnsi="Century Schoolbook" w:cs="Times New Roman"/>
        </w:rPr>
        <w:t>)</w:t>
      </w:r>
      <w:proofErr w:type="gramStart"/>
      <w:r w:rsidRPr="002D52D3">
        <w:rPr>
          <w:rFonts w:ascii="Century Schoolbook" w:hAnsi="Century Schoolbook" w:cs="Times New Roman"/>
        </w:rPr>
        <w:t>,</w:t>
      </w:r>
      <w:r w:rsidRPr="003541F9">
        <w:rPr>
          <w:rFonts w:ascii="Century Schoolbook" w:hAnsi="Century Schoolbook" w:cs="Times New Roman"/>
        </w:rPr>
        <w:t xml:space="preserve"> </w:t>
      </w:r>
      <w:r w:rsidRPr="003541F9">
        <w:rPr>
          <w:rFonts w:ascii="Century Schoolbook" w:hAnsi="Century Schoolbook" w:cs="Times New Roman"/>
          <w:i/>
        </w:rPr>
        <w:t xml:space="preserve"> </w:t>
      </w:r>
      <w:r w:rsidRPr="003541F9">
        <w:rPr>
          <w:rFonts w:ascii="Century Schoolbook" w:hAnsi="Century Schoolbook" w:cs="Times New Roman"/>
        </w:rPr>
        <w:t>www.nytimes.com</w:t>
      </w:r>
      <w:proofErr w:type="gramEnd"/>
      <w:r w:rsidRPr="003541F9">
        <w:rPr>
          <w:rFonts w:ascii="Century Schoolbook" w:hAnsi="Century Schoolbook" w:cs="Times New Roman"/>
        </w:rPr>
        <w:t>/2017/08/08/opinion/female-lawyers-women-judges.html.</w:t>
      </w:r>
    </w:p>
  </w:footnote>
  <w:footnote w:id="25">
    <w:p w:rsidR="00625B3F" w:rsidRPr="003541F9" w:rsidRDefault="00625B3F" w:rsidP="00625B3F">
      <w:pPr>
        <w:pStyle w:val="FootnoteText"/>
        <w:rPr>
          <w:rFonts w:ascii="Century Schoolbook" w:hAnsi="Century Schoolbook" w:cs="Times New Roman"/>
        </w:rPr>
      </w:pPr>
      <w:r w:rsidRPr="003541F9">
        <w:rPr>
          <w:rStyle w:val="FootnoteReference"/>
          <w:rFonts w:ascii="Century Schoolbook" w:hAnsi="Century Schoolbook" w:cs="Times New Roman"/>
        </w:rPr>
        <w:footnoteRef/>
      </w:r>
      <w:r w:rsidRPr="003541F9">
        <w:rPr>
          <w:rFonts w:ascii="Century Schoolbook" w:hAnsi="Century Schoolbook" w:cs="Times New Roman"/>
        </w:rPr>
        <w:t xml:space="preserve"> </w:t>
      </w:r>
      <w:r w:rsidRPr="002D52D3">
        <w:rPr>
          <w:rFonts w:ascii="Century Schoolbook" w:hAnsi="Century Schoolbook" w:cs="Times New Roman"/>
          <w:smallCaps/>
        </w:rPr>
        <w:t xml:space="preserve">NYSBA Report, </w:t>
      </w:r>
      <w:r w:rsidRPr="002D52D3">
        <w:rPr>
          <w:rFonts w:ascii="Century Schoolbook" w:hAnsi="Century Schoolbook" w:cs="Times New Roman"/>
          <w:i/>
        </w:rPr>
        <w:t xml:space="preserve">supra </w:t>
      </w:r>
      <w:r w:rsidRPr="002D52D3">
        <w:rPr>
          <w:rFonts w:ascii="Century Schoolbook" w:hAnsi="Century Schoolbook" w:cs="Times New Roman"/>
        </w:rPr>
        <w:t xml:space="preserve">note </w:t>
      </w:r>
      <w:r w:rsidRPr="003541F9">
        <w:rPr>
          <w:rFonts w:ascii="Century Schoolbook" w:hAnsi="Century Schoolbook" w:cs="Times New Roman"/>
        </w:rPr>
        <w:fldChar w:fldCharType="begin"/>
      </w:r>
      <w:r w:rsidRPr="002D52D3">
        <w:rPr>
          <w:rFonts w:ascii="Century Schoolbook" w:hAnsi="Century Schoolbook" w:cs="Times New Roman"/>
        </w:rPr>
        <w:instrText xml:space="preserve"> NOTEREF _Ref510809023 \h  \* MERGEFORMAT </w:instrText>
      </w:r>
      <w:r w:rsidRPr="003541F9">
        <w:rPr>
          <w:rFonts w:ascii="Century Schoolbook" w:hAnsi="Century Schoolbook" w:cs="Times New Roman"/>
        </w:rPr>
      </w:r>
      <w:r w:rsidRPr="003541F9">
        <w:rPr>
          <w:rFonts w:ascii="Century Schoolbook" w:hAnsi="Century Schoolbook" w:cs="Times New Roman"/>
        </w:rPr>
        <w:fldChar w:fldCharType="separate"/>
      </w:r>
      <w:r>
        <w:rPr>
          <w:rFonts w:ascii="Century Schoolbook" w:hAnsi="Century Schoolbook" w:cs="Times New Roman"/>
        </w:rPr>
        <w:t>3</w:t>
      </w:r>
      <w:r w:rsidRPr="003541F9">
        <w:rPr>
          <w:rFonts w:ascii="Century Schoolbook" w:hAnsi="Century Schoolbook" w:cs="Times New Roman"/>
        </w:rPr>
        <w:fldChar w:fldCharType="end"/>
      </w:r>
      <w:r w:rsidRPr="002D52D3">
        <w:rPr>
          <w:rFonts w:ascii="Century Schoolbook" w:hAnsi="Century Schoolbook" w:cs="Times New Roman"/>
        </w:rPr>
        <w:t>.</w:t>
      </w:r>
    </w:p>
  </w:footnote>
  <w:footnote w:id="26">
    <w:p w:rsidR="00625B3F" w:rsidRPr="003541F9" w:rsidRDefault="00625B3F" w:rsidP="00625B3F">
      <w:pPr>
        <w:pStyle w:val="FootnoteText"/>
        <w:rPr>
          <w:rFonts w:ascii="Century Schoolbook" w:hAnsi="Century Schoolbook" w:cs="Times New Roman"/>
        </w:rPr>
      </w:pPr>
      <w:r w:rsidRPr="003541F9">
        <w:rPr>
          <w:rStyle w:val="FootnoteReference"/>
          <w:rFonts w:ascii="Century Schoolbook" w:hAnsi="Century Schoolbook" w:cs="Times New Roman"/>
        </w:rPr>
        <w:footnoteRef/>
      </w:r>
      <w:r w:rsidRPr="003541F9">
        <w:rPr>
          <w:rFonts w:ascii="Century Schoolbook" w:hAnsi="Century Schoolbook" w:cs="Times New Roman"/>
        </w:rPr>
        <w:t xml:space="preserve"> </w:t>
      </w:r>
      <w:r w:rsidRPr="003541F9">
        <w:rPr>
          <w:rFonts w:ascii="Century Schoolbook" w:hAnsi="Century Schoolbook" w:cs="Times New Roman"/>
          <w:i/>
        </w:rPr>
        <w:t xml:space="preserve">See generally </w:t>
      </w:r>
      <w:proofErr w:type="spellStart"/>
      <w:r w:rsidRPr="003541F9">
        <w:rPr>
          <w:rFonts w:ascii="Century Schoolbook" w:hAnsi="Century Schoolbook" w:cs="Times New Roman"/>
        </w:rPr>
        <w:t>Fegan</w:t>
      </w:r>
      <w:proofErr w:type="spellEnd"/>
      <w:r w:rsidRPr="003541F9">
        <w:rPr>
          <w:rFonts w:ascii="Century Schoolbook" w:hAnsi="Century Schoolbook" w:cs="Times New Roman"/>
        </w:rPr>
        <w:t xml:space="preserve">, </w:t>
      </w:r>
      <w:r w:rsidRPr="003541F9">
        <w:rPr>
          <w:rFonts w:ascii="Century Schoolbook" w:hAnsi="Century Schoolbook" w:cs="Times New Roman"/>
          <w:i/>
        </w:rPr>
        <w:t xml:space="preserve">supra </w:t>
      </w:r>
      <w:r w:rsidRPr="003541F9">
        <w:rPr>
          <w:rFonts w:ascii="Century Schoolbook" w:hAnsi="Century Schoolbook" w:cs="Times New Roman"/>
        </w:rPr>
        <w:t xml:space="preserve">note </w:t>
      </w:r>
      <w:r w:rsidRPr="003541F9">
        <w:rPr>
          <w:rFonts w:ascii="Century Schoolbook" w:hAnsi="Century Schoolbook" w:cs="Times New Roman"/>
        </w:rPr>
        <w:fldChar w:fldCharType="begin"/>
      </w:r>
      <w:r w:rsidRPr="002D52D3">
        <w:rPr>
          <w:rFonts w:ascii="Century Schoolbook" w:hAnsi="Century Schoolbook" w:cs="Times New Roman"/>
        </w:rPr>
        <w:instrText xml:space="preserve"> NOTEREF _Ref510706777 \h  \* MERGEFORMAT </w:instrText>
      </w:r>
      <w:r w:rsidRPr="003541F9">
        <w:rPr>
          <w:rFonts w:ascii="Century Schoolbook" w:hAnsi="Century Schoolbook" w:cs="Times New Roman"/>
        </w:rPr>
      </w:r>
      <w:r w:rsidRPr="003541F9">
        <w:rPr>
          <w:rFonts w:ascii="Century Schoolbook" w:hAnsi="Century Schoolbook" w:cs="Times New Roman"/>
        </w:rPr>
        <w:fldChar w:fldCharType="separate"/>
      </w:r>
      <w:r>
        <w:rPr>
          <w:rFonts w:ascii="Century Schoolbook" w:hAnsi="Century Schoolbook" w:cs="Times New Roman"/>
          <w:b/>
          <w:bCs/>
        </w:rPr>
        <w:t>Error! Bookmark not defined.</w:t>
      </w:r>
      <w:r w:rsidRPr="003541F9">
        <w:rPr>
          <w:rFonts w:ascii="Century Schoolbook" w:hAnsi="Century Schoolbook" w:cs="Times New Roman"/>
        </w:rPr>
        <w:fldChar w:fldCharType="end"/>
      </w:r>
      <w:r w:rsidRPr="003541F9">
        <w:rPr>
          <w:rFonts w:ascii="Century Schoolbook" w:hAnsi="Century Schoolbook" w:cs="Times New Roman"/>
        </w:rPr>
        <w:t>.</w:t>
      </w:r>
    </w:p>
  </w:footnote>
  <w:footnote w:id="27">
    <w:p w:rsidR="00625B3F" w:rsidRPr="003541F9" w:rsidRDefault="00625B3F" w:rsidP="00625B3F">
      <w:pPr>
        <w:pStyle w:val="FootnoteText"/>
        <w:rPr>
          <w:rFonts w:ascii="Century Schoolbook" w:hAnsi="Century Schoolbook" w:cs="Times New Roman"/>
        </w:rPr>
      </w:pPr>
      <w:r w:rsidRPr="003541F9">
        <w:rPr>
          <w:rStyle w:val="FootnoteReference"/>
          <w:rFonts w:ascii="Century Schoolbook" w:hAnsi="Century Schoolbook" w:cs="Times New Roman"/>
        </w:rPr>
        <w:footnoteRef/>
      </w:r>
      <w:r w:rsidRPr="003541F9">
        <w:rPr>
          <w:rFonts w:ascii="Century Schoolbook" w:hAnsi="Century Schoolbook" w:cs="Times New Roman"/>
        </w:rPr>
        <w:t xml:space="preserve"> </w:t>
      </w:r>
      <w:r w:rsidRPr="003541F9">
        <w:rPr>
          <w:rFonts w:ascii="Century Schoolbook" w:hAnsi="Century Schoolbook" w:cs="Times New Roman"/>
          <w:vertAlign w:val="superscript"/>
        </w:rPr>
        <w:t> </w:t>
      </w:r>
      <w:proofErr w:type="spellStart"/>
      <w:r w:rsidRPr="003541F9">
        <w:rPr>
          <w:rFonts w:ascii="Century Schoolbook" w:hAnsi="Century Schoolbook" w:cs="Times New Roman"/>
        </w:rPr>
        <w:t>Spela</w:t>
      </w:r>
      <w:proofErr w:type="spellEnd"/>
      <w:r w:rsidRPr="003541F9">
        <w:rPr>
          <w:rFonts w:ascii="Century Schoolbook" w:hAnsi="Century Schoolbook" w:cs="Times New Roman"/>
        </w:rPr>
        <w:t xml:space="preserve"> </w:t>
      </w:r>
      <w:proofErr w:type="spellStart"/>
      <w:r w:rsidRPr="003541F9">
        <w:rPr>
          <w:rFonts w:ascii="Century Schoolbook" w:hAnsi="Century Schoolbook" w:cs="Times New Roman"/>
        </w:rPr>
        <w:t>Trefault</w:t>
      </w:r>
      <w:proofErr w:type="spellEnd"/>
      <w:r w:rsidRPr="003541F9">
        <w:rPr>
          <w:rFonts w:ascii="Century Schoolbook" w:hAnsi="Century Schoolbook" w:cs="Times New Roman"/>
        </w:rPr>
        <w:t xml:space="preserve"> et al., </w:t>
      </w:r>
      <w:r w:rsidRPr="003541F9">
        <w:rPr>
          <w:rFonts w:ascii="Century Schoolbook" w:hAnsi="Century Schoolbook" w:cs="Times New Roman"/>
          <w:i/>
        </w:rPr>
        <w:t>Closing the Women's Leadership Gap: Who Can Help</w:t>
      </w:r>
      <w:proofErr w:type="gramStart"/>
      <w:r w:rsidRPr="003541F9">
        <w:rPr>
          <w:rFonts w:ascii="Century Schoolbook" w:hAnsi="Century Schoolbook" w:cs="Times New Roman"/>
          <w:i/>
        </w:rPr>
        <w:t>?</w:t>
      </w:r>
      <w:r w:rsidRPr="003541F9">
        <w:rPr>
          <w:rFonts w:ascii="Century Schoolbook" w:hAnsi="Century Schoolbook" w:cs="Times New Roman"/>
        </w:rPr>
        <w:t>,</w:t>
      </w:r>
      <w:proofErr w:type="gramEnd"/>
      <w:r w:rsidRPr="003541F9">
        <w:rPr>
          <w:rFonts w:ascii="Century Schoolbook" w:hAnsi="Century Schoolbook" w:cs="Times New Roman"/>
        </w:rPr>
        <w:t xml:space="preserve"> </w:t>
      </w:r>
      <w:r w:rsidRPr="003541F9">
        <w:rPr>
          <w:rFonts w:ascii="Century Schoolbook" w:hAnsi="Century Schoolbook" w:cs="Times New Roman"/>
          <w:smallCaps/>
        </w:rPr>
        <w:t>CGO Insights</w:t>
      </w:r>
      <w:r w:rsidRPr="003541F9">
        <w:rPr>
          <w:rFonts w:ascii="Century Schoolbook" w:hAnsi="Century Schoolbook" w:cs="Times New Roman"/>
        </w:rPr>
        <w:t xml:space="preserve"> (Apr. 2011), www.simmons.edu/~/media/Simmons/About/CGO/Documents/INsights/Insights-32.ashx?la=en.</w:t>
      </w:r>
    </w:p>
  </w:footnote>
  <w:footnote w:id="28">
    <w:p w:rsidR="00625B3F" w:rsidRPr="003541F9" w:rsidRDefault="00625B3F" w:rsidP="00625B3F">
      <w:pPr>
        <w:pStyle w:val="FootnoteText"/>
        <w:rPr>
          <w:rFonts w:ascii="Century Schoolbook" w:hAnsi="Century Schoolbook" w:cs="Times New Roman"/>
        </w:rPr>
      </w:pPr>
      <w:r w:rsidRPr="003541F9">
        <w:rPr>
          <w:rStyle w:val="FootnoteReference"/>
          <w:rFonts w:ascii="Century Schoolbook" w:hAnsi="Century Schoolbook" w:cs="Times New Roman"/>
        </w:rPr>
        <w:footnoteRef/>
      </w:r>
      <w:r w:rsidRPr="003541F9">
        <w:rPr>
          <w:rFonts w:ascii="Century Schoolbook" w:hAnsi="Century Schoolbook" w:cs="Times New Roman"/>
        </w:rPr>
        <w:t xml:space="preserve"> </w:t>
      </w:r>
      <w:r w:rsidRPr="003541F9">
        <w:rPr>
          <w:rFonts w:ascii="Century Schoolbook" w:hAnsi="Century Schoolbook" w:cs="Times New Roman"/>
          <w:smallCaps/>
        </w:rPr>
        <w:t xml:space="preserve">Anne </w:t>
      </w:r>
      <w:proofErr w:type="spellStart"/>
      <w:r w:rsidRPr="003541F9">
        <w:rPr>
          <w:rFonts w:ascii="Century Schoolbook" w:hAnsi="Century Schoolbook" w:cs="Times New Roman"/>
          <w:smallCaps/>
        </w:rPr>
        <w:t>Jaffee</w:t>
      </w:r>
      <w:proofErr w:type="spellEnd"/>
      <w:r w:rsidRPr="003541F9">
        <w:rPr>
          <w:rFonts w:ascii="Century Schoolbook" w:hAnsi="Century Schoolbook" w:cs="Times New Roman"/>
          <w:smallCaps/>
        </w:rPr>
        <w:t xml:space="preserve"> et al., Retaining and Advancing Women in National Law Firms</w:t>
      </w:r>
      <w:r w:rsidRPr="002D52D3">
        <w:rPr>
          <w:rFonts w:ascii="Century Schoolbook" w:hAnsi="Century Schoolbook" w:cs="Times New Roman"/>
        </w:rPr>
        <w:t xml:space="preserve"> 11</w:t>
      </w:r>
      <w:r w:rsidRPr="003541F9">
        <w:rPr>
          <w:rFonts w:ascii="Century Schoolbook" w:hAnsi="Century Schoolbook" w:cs="Times New Roman"/>
        </w:rPr>
        <w:t xml:space="preserve"> </w:t>
      </w:r>
      <w:r w:rsidRPr="002D52D3">
        <w:rPr>
          <w:rFonts w:ascii="Century Schoolbook" w:hAnsi="Century Schoolbook" w:cs="Times New Roman"/>
        </w:rPr>
        <w:t xml:space="preserve">(Stan. L. Sch. </w:t>
      </w:r>
      <w:r w:rsidRPr="003541F9">
        <w:rPr>
          <w:rFonts w:ascii="Century Schoolbook" w:hAnsi="Century Schoolbook" w:cs="Times New Roman"/>
        </w:rPr>
        <w:t>2016)</w:t>
      </w:r>
      <w:r w:rsidRPr="002D52D3">
        <w:rPr>
          <w:rFonts w:ascii="Century Schoolbook" w:hAnsi="Century Schoolbook" w:cs="Times New Roman"/>
        </w:rPr>
        <w:t>, https://www-cdn.law.stanford.edu/wp-content/uploads/2016/05/Women-in-Law-White-Paper-FINAL-May-31-2016.pdf</w:t>
      </w:r>
      <w:r w:rsidRPr="003541F9">
        <w:rPr>
          <w:rFonts w:ascii="Century Schoolbook" w:hAnsi="Century Schoolbook" w:cs="Times New Roman"/>
        </w:rPr>
        <w:t>.</w:t>
      </w:r>
    </w:p>
  </w:footnote>
  <w:footnote w:id="29">
    <w:p w:rsidR="00625B3F" w:rsidRPr="003541F9" w:rsidRDefault="00625B3F" w:rsidP="00625B3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cs="Times New Roman"/>
        </w:rPr>
        <w:t xml:space="preserve">Although implicit bias is hidden, its existence is provable.  Harvard University created Project Implicit, a non-profit organization and international network of researchers investigating implicit social cognition, or “thoughts and feelings outside of conscious awareness and control.”  </w:t>
      </w:r>
      <w:r w:rsidRPr="003541F9">
        <w:rPr>
          <w:rFonts w:ascii="Century Schoolbook" w:hAnsi="Century Schoolbook" w:cs="Times New Roman"/>
          <w:smallCaps/>
        </w:rPr>
        <w:t>Project Implicit</w:t>
      </w:r>
      <w:r w:rsidRPr="003541F9">
        <w:rPr>
          <w:rFonts w:ascii="Century Schoolbook" w:hAnsi="Century Schoolbook" w:cs="Times New Roman"/>
        </w:rPr>
        <w:t xml:space="preserve">, www.projectimplicit.net/index.html (last visited Sept. 5, 2017).  The goal of Project Implicit is “to educate the public about hidden biases and to provide a ‘virtual laboratory’ for collecting data on the Internet.”  </w:t>
      </w:r>
      <w:r w:rsidRPr="003541F9">
        <w:rPr>
          <w:rFonts w:ascii="Century Schoolbook" w:hAnsi="Century Schoolbook" w:cs="Times New Roman"/>
          <w:i/>
        </w:rPr>
        <w:t xml:space="preserve">Id.  </w:t>
      </w:r>
      <w:r w:rsidRPr="003541F9">
        <w:rPr>
          <w:rFonts w:ascii="Century Schoolbook" w:hAnsi="Century Schoolbook" w:cs="Times New Roman"/>
        </w:rPr>
        <w:t xml:space="preserve">One part of this education is the project’s online Implicit Association Test, which measures the embedded attitudes and beliefs that people are either unwilling or unable to report.  </w:t>
      </w:r>
      <w:r w:rsidRPr="003541F9">
        <w:rPr>
          <w:rFonts w:ascii="Century Schoolbook" w:hAnsi="Century Schoolbook" w:cs="Times New Roman"/>
          <w:i/>
        </w:rPr>
        <w:t>Id.</w:t>
      </w:r>
    </w:p>
  </w:footnote>
  <w:footnote w:id="30">
    <w:p w:rsidR="00625B3F" w:rsidRPr="003541F9" w:rsidRDefault="00625B3F" w:rsidP="00625B3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proofErr w:type="spellStart"/>
      <w:r w:rsidRPr="003541F9">
        <w:rPr>
          <w:rFonts w:ascii="Century Schoolbook" w:hAnsi="Century Schoolbook" w:cs="Times New Roman"/>
          <w:smallCaps/>
        </w:rPr>
        <w:t>Jaffee</w:t>
      </w:r>
      <w:proofErr w:type="spellEnd"/>
      <w:r w:rsidRPr="003541F9">
        <w:rPr>
          <w:rFonts w:ascii="Century Schoolbook" w:hAnsi="Century Schoolbook" w:cs="Times New Roman"/>
          <w:smallCaps/>
        </w:rPr>
        <w:t xml:space="preserve"> et al.</w:t>
      </w:r>
      <w:r w:rsidRPr="003541F9">
        <w:rPr>
          <w:rFonts w:ascii="Century Schoolbook" w:hAnsi="Century Schoolbook" w:cs="Times New Roman"/>
        </w:rPr>
        <w:t xml:space="preserve">, </w:t>
      </w:r>
      <w:r w:rsidRPr="003541F9">
        <w:rPr>
          <w:rFonts w:ascii="Century Schoolbook" w:hAnsi="Century Schoolbook" w:cs="Times New Roman"/>
          <w:i/>
        </w:rPr>
        <w:t xml:space="preserve">supra </w:t>
      </w:r>
      <w:r w:rsidRPr="003541F9">
        <w:rPr>
          <w:rFonts w:ascii="Century Schoolbook" w:hAnsi="Century Schoolbook" w:cs="Times New Roman"/>
        </w:rPr>
        <w:t xml:space="preserve">note </w:t>
      </w:r>
      <w:r w:rsidRPr="003541F9">
        <w:rPr>
          <w:rFonts w:ascii="Century Schoolbook" w:hAnsi="Century Schoolbook" w:cs="Times New Roman"/>
        </w:rPr>
        <w:fldChar w:fldCharType="begin"/>
      </w:r>
      <w:r w:rsidRPr="002D52D3">
        <w:rPr>
          <w:rFonts w:ascii="Century Schoolbook" w:hAnsi="Century Schoolbook" w:cs="Times New Roman"/>
        </w:rPr>
        <w:instrText xml:space="preserve"> NOTEREF _Ref510805419 \h  \* MERGEFORMAT </w:instrText>
      </w:r>
      <w:r w:rsidRPr="003541F9">
        <w:rPr>
          <w:rFonts w:ascii="Century Schoolbook" w:hAnsi="Century Schoolbook" w:cs="Times New Roman"/>
        </w:rPr>
      </w:r>
      <w:r w:rsidRPr="003541F9">
        <w:rPr>
          <w:rFonts w:ascii="Century Schoolbook" w:hAnsi="Century Schoolbook" w:cs="Times New Roman"/>
        </w:rPr>
        <w:fldChar w:fldCharType="separate"/>
      </w:r>
      <w:r>
        <w:rPr>
          <w:rFonts w:ascii="Century Schoolbook" w:hAnsi="Century Schoolbook" w:cs="Times New Roman"/>
        </w:rPr>
        <w:t>28</w:t>
      </w:r>
      <w:r w:rsidRPr="003541F9">
        <w:rPr>
          <w:rFonts w:ascii="Century Schoolbook" w:hAnsi="Century Schoolbook" w:cs="Times New Roman"/>
        </w:rPr>
        <w:fldChar w:fldCharType="end"/>
      </w:r>
      <w:r w:rsidRPr="002D52D3">
        <w:rPr>
          <w:rFonts w:ascii="Century Schoolbook" w:hAnsi="Century Schoolbook" w:cs="Times New Roman"/>
        </w:rPr>
        <w:t>, at 6 n.15.</w:t>
      </w:r>
    </w:p>
  </w:footnote>
  <w:footnote w:id="31">
    <w:p w:rsidR="00625B3F" w:rsidRPr="003541F9" w:rsidRDefault="00625B3F" w:rsidP="00625B3F">
      <w:pPr>
        <w:pStyle w:val="FootnoteText"/>
        <w:rPr>
          <w:rFonts w:ascii="Century Schoolbook" w:hAnsi="Century Schoolbook" w:cs="Times New Roman"/>
        </w:rPr>
      </w:pPr>
      <w:r w:rsidRPr="003541F9">
        <w:rPr>
          <w:rStyle w:val="FootnoteReference"/>
          <w:rFonts w:ascii="Century Schoolbook" w:hAnsi="Century Schoolbook" w:cs="Times New Roman"/>
        </w:rPr>
        <w:footnoteRef/>
      </w:r>
      <w:r w:rsidRPr="003541F9">
        <w:rPr>
          <w:rFonts w:ascii="Century Schoolbook" w:hAnsi="Century Schoolbook" w:cs="Times New Roman"/>
        </w:rPr>
        <w:t xml:space="preserve"> </w:t>
      </w:r>
      <w:r w:rsidRPr="003541F9">
        <w:rPr>
          <w:rFonts w:ascii="Century Schoolbook" w:hAnsi="Century Schoolbook" w:cs="Times New Roman"/>
          <w:i/>
        </w:rPr>
        <w:t>Id.</w:t>
      </w:r>
    </w:p>
  </w:footnote>
  <w:footnote w:id="32">
    <w:p w:rsidR="00625B3F" w:rsidRPr="003541F9" w:rsidRDefault="00625B3F" w:rsidP="00625B3F">
      <w:pPr>
        <w:pStyle w:val="FootnoteText"/>
        <w:rPr>
          <w:rFonts w:ascii="Century Schoolbook" w:hAnsi="Century Schoolbook"/>
          <w:i/>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cs="Times New Roman"/>
          <w:i/>
        </w:rPr>
        <w:t xml:space="preserve">See </w:t>
      </w:r>
      <w:r w:rsidRPr="003541F9">
        <w:rPr>
          <w:rFonts w:ascii="Century Schoolbook" w:hAnsi="Century Schoolbook" w:cs="Times New Roman"/>
        </w:rPr>
        <w:t xml:space="preserve">Lisa Burrell, </w:t>
      </w:r>
      <w:r w:rsidRPr="003541F9">
        <w:rPr>
          <w:rFonts w:ascii="Century Schoolbook" w:hAnsi="Century Schoolbook" w:cs="Times New Roman"/>
          <w:i/>
        </w:rPr>
        <w:t>We Just Can’t Handle Diversity</w:t>
      </w:r>
      <w:r w:rsidRPr="003541F9">
        <w:rPr>
          <w:rFonts w:ascii="Century Schoolbook" w:hAnsi="Century Schoolbook" w:cs="Times New Roman"/>
        </w:rPr>
        <w:t xml:space="preserve">, </w:t>
      </w:r>
      <w:proofErr w:type="spellStart"/>
      <w:r w:rsidRPr="003541F9">
        <w:rPr>
          <w:rFonts w:ascii="Century Schoolbook" w:hAnsi="Century Schoolbook" w:cs="Times New Roman"/>
          <w:smallCaps/>
        </w:rPr>
        <w:t>Harv</w:t>
      </w:r>
      <w:proofErr w:type="spellEnd"/>
      <w:r w:rsidRPr="003541F9">
        <w:rPr>
          <w:rFonts w:ascii="Century Schoolbook" w:hAnsi="Century Schoolbook" w:cs="Times New Roman"/>
          <w:smallCaps/>
        </w:rPr>
        <w:t>. Bus. Rev.</w:t>
      </w:r>
      <w:r w:rsidRPr="003541F9">
        <w:rPr>
          <w:rFonts w:ascii="Century Schoolbook" w:hAnsi="Century Schoolbook" w:cs="Times New Roman"/>
        </w:rPr>
        <w:t xml:space="preserve"> (2016), https://hbr.org/2016/07/we-just-cant-handle-diversity.</w:t>
      </w:r>
    </w:p>
  </w:footnote>
  <w:footnote w:id="33">
    <w:p w:rsidR="00625B3F" w:rsidRPr="003541F9" w:rsidRDefault="00625B3F" w:rsidP="00625B3F">
      <w:pPr>
        <w:pStyle w:val="FootnoteText"/>
        <w:rPr>
          <w:rFonts w:ascii="Century Schoolbook" w:hAnsi="Century Schoolbook" w:cs="Times New Roman"/>
        </w:rPr>
      </w:pPr>
      <w:r w:rsidRPr="003541F9">
        <w:rPr>
          <w:rStyle w:val="FootnoteReference"/>
          <w:rFonts w:ascii="Century Schoolbook" w:hAnsi="Century Schoolbook" w:cs="Times New Roman"/>
        </w:rPr>
        <w:footnoteRef/>
      </w:r>
      <w:r w:rsidRPr="003541F9">
        <w:rPr>
          <w:rFonts w:ascii="Century Schoolbook" w:hAnsi="Century Schoolbook" w:cs="Times New Roman"/>
        </w:rPr>
        <w:t xml:space="preserve"> </w:t>
      </w:r>
      <w:proofErr w:type="spellStart"/>
      <w:r w:rsidRPr="002D52D3">
        <w:rPr>
          <w:rFonts w:ascii="Century Schoolbook" w:hAnsi="Century Schoolbook" w:cs="Times New Roman"/>
          <w:smallCaps/>
        </w:rPr>
        <w:t>Jaffee</w:t>
      </w:r>
      <w:proofErr w:type="spellEnd"/>
      <w:r w:rsidRPr="002D52D3">
        <w:rPr>
          <w:rFonts w:ascii="Century Schoolbook" w:hAnsi="Century Schoolbook" w:cs="Times New Roman"/>
          <w:smallCaps/>
        </w:rPr>
        <w:t xml:space="preserve"> et al.</w:t>
      </w:r>
      <w:r w:rsidRPr="002D52D3">
        <w:rPr>
          <w:rFonts w:ascii="Century Schoolbook" w:hAnsi="Century Schoolbook" w:cs="Times New Roman"/>
        </w:rPr>
        <w:t xml:space="preserve">, </w:t>
      </w:r>
      <w:r w:rsidRPr="002D52D3">
        <w:rPr>
          <w:rFonts w:ascii="Century Schoolbook" w:hAnsi="Century Schoolbook" w:cs="Times New Roman"/>
          <w:i/>
        </w:rPr>
        <w:t xml:space="preserve">supra </w:t>
      </w:r>
      <w:r w:rsidRPr="002D52D3">
        <w:rPr>
          <w:rFonts w:ascii="Century Schoolbook" w:hAnsi="Century Schoolbook" w:cs="Times New Roman"/>
        </w:rPr>
        <w:t xml:space="preserve">note </w:t>
      </w:r>
      <w:r w:rsidRPr="003541F9">
        <w:rPr>
          <w:rFonts w:ascii="Century Schoolbook" w:hAnsi="Century Schoolbook" w:cs="Times New Roman"/>
        </w:rPr>
        <w:fldChar w:fldCharType="begin"/>
      </w:r>
      <w:r w:rsidRPr="002D52D3">
        <w:rPr>
          <w:rFonts w:ascii="Century Schoolbook" w:hAnsi="Century Schoolbook" w:cs="Times New Roman"/>
        </w:rPr>
        <w:instrText xml:space="preserve"> NOTEREF _Ref510805419 \h  \* MERGEFORMAT </w:instrText>
      </w:r>
      <w:r w:rsidRPr="003541F9">
        <w:rPr>
          <w:rFonts w:ascii="Century Schoolbook" w:hAnsi="Century Schoolbook" w:cs="Times New Roman"/>
        </w:rPr>
      </w:r>
      <w:r w:rsidRPr="003541F9">
        <w:rPr>
          <w:rFonts w:ascii="Century Schoolbook" w:hAnsi="Century Schoolbook" w:cs="Times New Roman"/>
        </w:rPr>
        <w:fldChar w:fldCharType="separate"/>
      </w:r>
      <w:r>
        <w:rPr>
          <w:rFonts w:ascii="Century Schoolbook" w:hAnsi="Century Schoolbook" w:cs="Times New Roman"/>
        </w:rPr>
        <w:t>28</w:t>
      </w:r>
      <w:r w:rsidRPr="003541F9">
        <w:rPr>
          <w:rFonts w:ascii="Century Schoolbook" w:hAnsi="Century Schoolbook" w:cs="Times New Roman"/>
        </w:rPr>
        <w:fldChar w:fldCharType="end"/>
      </w:r>
      <w:r w:rsidRPr="002D52D3">
        <w:rPr>
          <w:rFonts w:ascii="Century Schoolbook" w:hAnsi="Century Schoolbook" w:cs="Times New Roman"/>
        </w:rPr>
        <w:t>, at 20.</w:t>
      </w:r>
    </w:p>
  </w:footnote>
  <w:footnote w:id="34">
    <w:p w:rsidR="00625B3F" w:rsidRPr="003541F9" w:rsidRDefault="00625B3F" w:rsidP="00625B3F">
      <w:pPr>
        <w:pStyle w:val="FootnoteText"/>
        <w:rPr>
          <w:rFonts w:ascii="Century Schoolbook" w:hAnsi="Century Schoolbook" w:cs="Times New Roman"/>
        </w:rPr>
      </w:pPr>
      <w:r w:rsidRPr="003541F9">
        <w:rPr>
          <w:rStyle w:val="FootnoteReference"/>
          <w:rFonts w:ascii="Century Schoolbook" w:hAnsi="Century Schoolbook" w:cs="Times New Roman"/>
        </w:rPr>
        <w:footnoteRef/>
      </w:r>
      <w:r w:rsidRPr="003541F9">
        <w:rPr>
          <w:rFonts w:ascii="Century Schoolbook" w:hAnsi="Century Schoolbook" w:cs="Times New Roman"/>
        </w:rPr>
        <w:t xml:space="preserve"> </w:t>
      </w:r>
      <w:r w:rsidRPr="003541F9">
        <w:rPr>
          <w:rFonts w:ascii="Century Schoolbook" w:hAnsi="Century Schoolbook" w:cs="Times New Roman"/>
          <w:i/>
        </w:rPr>
        <w:t>Id.</w:t>
      </w:r>
    </w:p>
  </w:footnote>
  <w:footnote w:id="35">
    <w:p w:rsidR="00625B3F" w:rsidRPr="003541F9" w:rsidRDefault="00625B3F" w:rsidP="00625B3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cs="Times New Roman"/>
          <w:smallCaps/>
        </w:rPr>
        <w:t>Sherrie Bourg Carter</w:t>
      </w:r>
      <w:r w:rsidRPr="003541F9">
        <w:rPr>
          <w:rFonts w:ascii="Century Schoolbook" w:hAnsi="Century Schoolbook" w:cs="Times New Roman"/>
        </w:rPr>
        <w:t>, </w:t>
      </w:r>
      <w:r w:rsidRPr="003541F9">
        <w:rPr>
          <w:rFonts w:ascii="Century Schoolbook" w:hAnsi="Century Schoolbook" w:cs="Times New Roman"/>
          <w:smallCaps/>
        </w:rPr>
        <w:t xml:space="preserve">High Octane Women: How </w:t>
      </w:r>
      <w:proofErr w:type="spellStart"/>
      <w:r w:rsidRPr="003541F9">
        <w:rPr>
          <w:rFonts w:ascii="Century Schoolbook" w:hAnsi="Century Schoolbook" w:cs="Times New Roman"/>
          <w:smallCaps/>
        </w:rPr>
        <w:t>Superachievers</w:t>
      </w:r>
      <w:proofErr w:type="spellEnd"/>
      <w:r w:rsidRPr="003541F9">
        <w:rPr>
          <w:rFonts w:ascii="Century Schoolbook" w:hAnsi="Century Schoolbook" w:cs="Times New Roman"/>
          <w:smallCaps/>
        </w:rPr>
        <w:t xml:space="preserve"> Can Avoid Burnout</w:t>
      </w:r>
      <w:r w:rsidRPr="003541F9">
        <w:rPr>
          <w:rFonts w:ascii="Century Schoolbook" w:hAnsi="Century Schoolbook" w:cs="Times New Roman"/>
        </w:rPr>
        <w:t xml:space="preserve"> 43 (2011).</w:t>
      </w:r>
    </w:p>
  </w:footnote>
  <w:footnote w:id="36">
    <w:p w:rsidR="00625B3F" w:rsidRPr="003541F9" w:rsidRDefault="00625B3F" w:rsidP="00625B3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Victoria L. </w:t>
      </w:r>
      <w:proofErr w:type="spellStart"/>
      <w:r w:rsidRPr="003541F9">
        <w:rPr>
          <w:rFonts w:ascii="Century Schoolbook" w:hAnsi="Century Schoolbook"/>
        </w:rPr>
        <w:t>Brescoll</w:t>
      </w:r>
      <w:proofErr w:type="spellEnd"/>
      <w:r w:rsidRPr="003541F9">
        <w:rPr>
          <w:rFonts w:ascii="Century Schoolbook" w:hAnsi="Century Schoolbook"/>
        </w:rPr>
        <w:t xml:space="preserve">, </w:t>
      </w:r>
      <w:r w:rsidRPr="002D52D3">
        <w:rPr>
          <w:rFonts w:ascii="Century Schoolbook" w:hAnsi="Century Schoolbook"/>
        </w:rPr>
        <w:t xml:space="preserve">Opinion, </w:t>
      </w:r>
      <w:r w:rsidRPr="003541F9">
        <w:rPr>
          <w:rFonts w:ascii="Century Schoolbook" w:hAnsi="Century Schoolbook"/>
          <w:i/>
        </w:rPr>
        <w:t>What Do Leaders Need to Understand About Diversity?</w:t>
      </w:r>
      <w:r w:rsidRPr="003541F9">
        <w:rPr>
          <w:rFonts w:ascii="Century Schoolbook" w:hAnsi="Century Schoolbook"/>
        </w:rPr>
        <w:t xml:space="preserve">  </w:t>
      </w:r>
      <w:r w:rsidRPr="003541F9">
        <w:rPr>
          <w:rFonts w:ascii="Century Schoolbook" w:hAnsi="Century Schoolbook"/>
          <w:smallCaps/>
        </w:rPr>
        <w:t>Yale Insights</w:t>
      </w:r>
      <w:r w:rsidRPr="003541F9">
        <w:rPr>
          <w:rFonts w:ascii="Century Schoolbook" w:hAnsi="Century Schoolbook"/>
        </w:rPr>
        <w:t xml:space="preserve"> (Jan. 1, 2011), http://insights.som.yale.edu/insights/what-do-leaders-need-to-understand-about-diversity.</w:t>
      </w:r>
    </w:p>
  </w:footnote>
  <w:footnote w:id="37">
    <w:p w:rsidR="00625B3F" w:rsidRPr="003541F9" w:rsidRDefault="00625B3F" w:rsidP="00625B3F">
      <w:pPr>
        <w:pStyle w:val="FootnoteText"/>
        <w:rPr>
          <w:rFonts w:ascii="Century Schoolbook" w:hAnsi="Century Schoolbook" w:cs="Times New Roman"/>
        </w:rPr>
      </w:pPr>
      <w:r w:rsidRPr="003541F9">
        <w:rPr>
          <w:rStyle w:val="FootnoteReference"/>
          <w:rFonts w:ascii="Century Schoolbook" w:hAnsi="Century Schoolbook" w:cs="Times New Roman"/>
        </w:rPr>
        <w:footnoteRef/>
      </w:r>
      <w:r w:rsidRPr="003541F9">
        <w:rPr>
          <w:rFonts w:ascii="Century Schoolbook" w:hAnsi="Century Schoolbook" w:cs="Times New Roman"/>
        </w:rPr>
        <w:t xml:space="preserve"> </w:t>
      </w:r>
      <w:proofErr w:type="spellStart"/>
      <w:r w:rsidRPr="002D52D3">
        <w:rPr>
          <w:rFonts w:ascii="Century Schoolbook" w:hAnsi="Century Schoolbook" w:cs="Times New Roman"/>
          <w:smallCaps/>
        </w:rPr>
        <w:t>Jaffee</w:t>
      </w:r>
      <w:proofErr w:type="spellEnd"/>
      <w:r w:rsidRPr="002D52D3">
        <w:rPr>
          <w:rFonts w:ascii="Century Schoolbook" w:hAnsi="Century Schoolbook" w:cs="Times New Roman"/>
          <w:smallCaps/>
        </w:rPr>
        <w:t xml:space="preserve"> et al.</w:t>
      </w:r>
      <w:r w:rsidRPr="002D52D3">
        <w:rPr>
          <w:rFonts w:ascii="Century Schoolbook" w:hAnsi="Century Schoolbook" w:cs="Times New Roman"/>
        </w:rPr>
        <w:t xml:space="preserve">, </w:t>
      </w:r>
      <w:r w:rsidRPr="002D52D3">
        <w:rPr>
          <w:rFonts w:ascii="Century Schoolbook" w:hAnsi="Century Schoolbook" w:cs="Times New Roman"/>
          <w:i/>
        </w:rPr>
        <w:t xml:space="preserve">supra </w:t>
      </w:r>
      <w:r w:rsidRPr="002D52D3">
        <w:rPr>
          <w:rFonts w:ascii="Century Schoolbook" w:hAnsi="Century Schoolbook" w:cs="Times New Roman"/>
        </w:rPr>
        <w:t xml:space="preserve">note </w:t>
      </w:r>
      <w:r w:rsidRPr="003541F9">
        <w:rPr>
          <w:rFonts w:ascii="Century Schoolbook" w:hAnsi="Century Schoolbook" w:cs="Times New Roman"/>
        </w:rPr>
        <w:fldChar w:fldCharType="begin"/>
      </w:r>
      <w:r w:rsidRPr="002D52D3">
        <w:rPr>
          <w:rFonts w:ascii="Century Schoolbook" w:hAnsi="Century Schoolbook" w:cs="Times New Roman"/>
        </w:rPr>
        <w:instrText xml:space="preserve"> NOTEREF _Ref510805419 \h  \* MERGEFORMAT </w:instrText>
      </w:r>
      <w:r w:rsidRPr="003541F9">
        <w:rPr>
          <w:rFonts w:ascii="Century Schoolbook" w:hAnsi="Century Schoolbook" w:cs="Times New Roman"/>
        </w:rPr>
      </w:r>
      <w:r w:rsidRPr="003541F9">
        <w:rPr>
          <w:rFonts w:ascii="Century Schoolbook" w:hAnsi="Century Schoolbook" w:cs="Times New Roman"/>
        </w:rPr>
        <w:fldChar w:fldCharType="separate"/>
      </w:r>
      <w:r>
        <w:rPr>
          <w:rFonts w:ascii="Century Schoolbook" w:hAnsi="Century Schoolbook" w:cs="Times New Roman"/>
        </w:rPr>
        <w:t>28</w:t>
      </w:r>
      <w:r w:rsidRPr="003541F9">
        <w:rPr>
          <w:rFonts w:ascii="Century Schoolbook" w:hAnsi="Century Schoolbook" w:cs="Times New Roman"/>
        </w:rPr>
        <w:fldChar w:fldCharType="end"/>
      </w:r>
      <w:r w:rsidRPr="002D52D3">
        <w:rPr>
          <w:rFonts w:ascii="Century Schoolbook" w:hAnsi="Century Schoolbook" w:cs="Times New Roman"/>
        </w:rPr>
        <w:t>, at 28.</w:t>
      </w:r>
    </w:p>
  </w:footnote>
  <w:footnote w:id="38">
    <w:p w:rsidR="00625B3F" w:rsidRPr="003541F9" w:rsidRDefault="00625B3F" w:rsidP="00625B3F">
      <w:pPr>
        <w:pStyle w:val="FootnoteText"/>
        <w:rPr>
          <w:rFonts w:ascii="Century Schoolbook" w:hAnsi="Century Schoolbook" w:cs="Times New Roman"/>
        </w:rPr>
      </w:pPr>
      <w:r w:rsidRPr="003541F9">
        <w:rPr>
          <w:rStyle w:val="FootnoteReference"/>
          <w:rFonts w:ascii="Century Schoolbook" w:hAnsi="Century Schoolbook" w:cs="Times New Roman"/>
        </w:rPr>
        <w:footnoteRef/>
      </w:r>
      <w:r w:rsidRPr="003541F9">
        <w:rPr>
          <w:rFonts w:ascii="Century Schoolbook" w:hAnsi="Century Schoolbook" w:cs="Times New Roman"/>
        </w:rPr>
        <w:t xml:space="preserve"> </w:t>
      </w:r>
      <w:r w:rsidRPr="003541F9">
        <w:rPr>
          <w:rFonts w:ascii="Century Schoolbook" w:hAnsi="Century Schoolbook" w:cs="Times New Roman"/>
          <w:i/>
        </w:rPr>
        <w:t>Id.</w:t>
      </w:r>
    </w:p>
  </w:footnote>
  <w:footnote w:id="39">
    <w:p w:rsidR="00625B3F" w:rsidRPr="003541F9" w:rsidRDefault="00625B3F" w:rsidP="00625B3F">
      <w:pPr>
        <w:pStyle w:val="FootnoteText"/>
        <w:rPr>
          <w:rFonts w:ascii="Century Schoolbook" w:hAnsi="Century Schoolbook" w:cs="Times New Roman"/>
        </w:rPr>
      </w:pPr>
      <w:r w:rsidRPr="003541F9">
        <w:rPr>
          <w:rStyle w:val="FootnoteReference"/>
          <w:rFonts w:ascii="Century Schoolbook" w:hAnsi="Century Schoolbook" w:cs="Times New Roman"/>
        </w:rPr>
        <w:footnoteRef/>
      </w:r>
      <w:r w:rsidRPr="003541F9">
        <w:rPr>
          <w:rFonts w:ascii="Century Schoolbook" w:hAnsi="Century Schoolbook" w:cs="Times New Roman"/>
        </w:rPr>
        <w:t xml:space="preserve"> Sherrie Bourg Carter, </w:t>
      </w:r>
      <w:r w:rsidRPr="003541F9">
        <w:rPr>
          <w:rFonts w:ascii="Century Schoolbook" w:hAnsi="Century Schoolbook" w:cs="Times New Roman"/>
          <w:i/>
        </w:rPr>
        <w:t>The Invisible Barrier: Second Generation Gender Discrimination</w:t>
      </w:r>
      <w:r w:rsidRPr="003541F9">
        <w:rPr>
          <w:rFonts w:ascii="Century Schoolbook" w:hAnsi="Century Schoolbook" w:cs="Times New Roman"/>
        </w:rPr>
        <w:t xml:space="preserve">, </w:t>
      </w:r>
      <w:r w:rsidRPr="002D52D3">
        <w:rPr>
          <w:rFonts w:ascii="Century Schoolbook" w:hAnsi="Century Schoolbook" w:cs="Times New Roman"/>
          <w:smallCaps/>
        </w:rPr>
        <w:t xml:space="preserve">Psych. </w:t>
      </w:r>
      <w:r w:rsidRPr="003541F9">
        <w:rPr>
          <w:rFonts w:ascii="Century Schoolbook" w:hAnsi="Century Schoolbook" w:cs="Times New Roman"/>
          <w:smallCaps/>
        </w:rPr>
        <w:t>Today</w:t>
      </w:r>
      <w:r w:rsidRPr="003541F9">
        <w:rPr>
          <w:rFonts w:ascii="Century Schoolbook" w:hAnsi="Century Schoolbook" w:cs="Times New Roman"/>
        </w:rPr>
        <w:t xml:space="preserve"> (May 1, 2011), www.psychologytoday.com/blog/high-octane-women/201105/the-invisible-barrier-second-generation-gender-discrimination.</w:t>
      </w:r>
    </w:p>
  </w:footnote>
  <w:footnote w:id="40">
    <w:p w:rsidR="00625B3F" w:rsidRPr="003541F9" w:rsidRDefault="00625B3F" w:rsidP="00625B3F">
      <w:pPr>
        <w:pStyle w:val="FootnoteText"/>
        <w:rPr>
          <w:rFonts w:ascii="Century Schoolbook" w:hAnsi="Century Schoolbook" w:cs="Times New Roman"/>
        </w:rPr>
      </w:pPr>
      <w:r w:rsidRPr="003541F9">
        <w:rPr>
          <w:rStyle w:val="FootnoteReference"/>
          <w:rFonts w:ascii="Century Schoolbook" w:hAnsi="Century Schoolbook" w:cs="Times New Roman"/>
        </w:rPr>
        <w:footnoteRef/>
      </w:r>
      <w:r w:rsidRPr="003541F9">
        <w:rPr>
          <w:rFonts w:ascii="Century Schoolbook" w:hAnsi="Century Schoolbook" w:cs="Times New Roman"/>
        </w:rPr>
        <w:t xml:space="preserve"> </w:t>
      </w:r>
      <w:r w:rsidRPr="003541F9">
        <w:rPr>
          <w:rFonts w:ascii="Century Schoolbook" w:hAnsi="Century Schoolbook" w:cs="Times New Roman"/>
          <w:i/>
        </w:rPr>
        <w:t>A Current Glance at Women in the Law</w:t>
      </w:r>
      <w:r w:rsidRPr="003541F9">
        <w:rPr>
          <w:rFonts w:ascii="Century Schoolbook" w:hAnsi="Century Schoolbook" w:cs="Times New Roman"/>
        </w:rPr>
        <w:t xml:space="preserve">, </w:t>
      </w:r>
      <w:r w:rsidRPr="003541F9">
        <w:rPr>
          <w:rFonts w:ascii="Century Schoolbook" w:hAnsi="Century Schoolbook" w:cs="Times New Roman"/>
          <w:smallCaps/>
        </w:rPr>
        <w:t xml:space="preserve">Am. Bar </w:t>
      </w:r>
      <w:proofErr w:type="spellStart"/>
      <w:r w:rsidRPr="003541F9">
        <w:rPr>
          <w:rFonts w:ascii="Century Schoolbook" w:hAnsi="Century Schoolbook" w:cs="Times New Roman"/>
          <w:smallCaps/>
        </w:rPr>
        <w:t>Ass’n</w:t>
      </w:r>
      <w:proofErr w:type="spellEnd"/>
      <w:r w:rsidRPr="003541F9">
        <w:rPr>
          <w:rFonts w:ascii="Century Schoolbook" w:hAnsi="Century Schoolbook" w:cs="Times New Roman"/>
          <w:smallCaps/>
        </w:rPr>
        <w:t xml:space="preserve"> </w:t>
      </w:r>
      <w:r w:rsidRPr="003541F9">
        <w:rPr>
          <w:rFonts w:ascii="Century Schoolbook" w:hAnsi="Century Schoolbook" w:cs="Times New Roman"/>
        </w:rPr>
        <w:t>(Jan. 2017), www.americanbar.org/content/dam/aba/marketing/women/current_glance_statistics_january2017.authcheckdam.pdf.</w:t>
      </w:r>
    </w:p>
  </w:footnote>
  <w:footnote w:id="41">
    <w:p w:rsidR="00625B3F" w:rsidRPr="003541F9" w:rsidRDefault="00625B3F" w:rsidP="00625B3F">
      <w:pPr>
        <w:pStyle w:val="FootnoteText"/>
        <w:rPr>
          <w:rFonts w:ascii="Century Schoolbook" w:hAnsi="Century Schoolbook" w:cs="Times New Roman"/>
          <w:lang w:val="es-ES"/>
        </w:rPr>
      </w:pPr>
      <w:r w:rsidRPr="003541F9">
        <w:rPr>
          <w:rStyle w:val="FootnoteReference"/>
          <w:rFonts w:ascii="Century Schoolbook" w:hAnsi="Century Schoolbook" w:cs="Times New Roman"/>
        </w:rPr>
        <w:footnoteRef/>
      </w:r>
      <w:r w:rsidRPr="003541F9">
        <w:rPr>
          <w:rFonts w:ascii="Century Schoolbook" w:hAnsi="Century Schoolbook" w:cs="Times New Roman"/>
          <w:lang w:val="es-ES"/>
        </w:rPr>
        <w:t xml:space="preserve"> </w:t>
      </w:r>
      <w:proofErr w:type="spellStart"/>
      <w:r w:rsidRPr="003541F9">
        <w:rPr>
          <w:rFonts w:ascii="Century Schoolbook" w:hAnsi="Century Schoolbook" w:cs="Times New Roman"/>
          <w:smallCaps/>
          <w:lang w:val="es-ES"/>
        </w:rPr>
        <w:t>Jaffee</w:t>
      </w:r>
      <w:proofErr w:type="spellEnd"/>
      <w:r w:rsidRPr="003541F9">
        <w:rPr>
          <w:rFonts w:ascii="Century Schoolbook" w:hAnsi="Century Schoolbook" w:cs="Times New Roman"/>
          <w:smallCaps/>
          <w:lang w:val="es-ES"/>
        </w:rPr>
        <w:t xml:space="preserve"> et al.</w:t>
      </w:r>
      <w:r w:rsidRPr="003541F9">
        <w:rPr>
          <w:rFonts w:ascii="Century Schoolbook" w:hAnsi="Century Schoolbook" w:cs="Times New Roman"/>
          <w:lang w:val="es-ES"/>
        </w:rPr>
        <w:t xml:space="preserve">, </w:t>
      </w:r>
      <w:r w:rsidRPr="003541F9">
        <w:rPr>
          <w:rFonts w:ascii="Century Schoolbook" w:hAnsi="Century Schoolbook" w:cs="Times New Roman"/>
          <w:i/>
          <w:lang w:val="es-ES"/>
        </w:rPr>
        <w:t xml:space="preserve">supra </w:t>
      </w:r>
      <w:r w:rsidRPr="003541F9">
        <w:rPr>
          <w:rFonts w:ascii="Century Schoolbook" w:hAnsi="Century Schoolbook" w:cs="Times New Roman"/>
          <w:lang w:val="es-ES"/>
        </w:rPr>
        <w:t xml:space="preserve">note </w:t>
      </w:r>
      <w:r w:rsidRPr="003541F9">
        <w:rPr>
          <w:rFonts w:ascii="Century Schoolbook" w:hAnsi="Century Schoolbook" w:cs="Times New Roman"/>
        </w:rPr>
        <w:fldChar w:fldCharType="begin"/>
      </w:r>
      <w:r w:rsidRPr="003541F9">
        <w:rPr>
          <w:rFonts w:ascii="Century Schoolbook" w:hAnsi="Century Schoolbook" w:cs="Times New Roman"/>
          <w:lang w:val="es-ES"/>
        </w:rPr>
        <w:instrText xml:space="preserve"> NOTEREF _Ref510805419 \h  \* MERGEFORMAT </w:instrText>
      </w:r>
      <w:r w:rsidRPr="003541F9">
        <w:rPr>
          <w:rFonts w:ascii="Century Schoolbook" w:hAnsi="Century Schoolbook" w:cs="Times New Roman"/>
        </w:rPr>
      </w:r>
      <w:r w:rsidRPr="003541F9">
        <w:rPr>
          <w:rFonts w:ascii="Century Schoolbook" w:hAnsi="Century Schoolbook" w:cs="Times New Roman"/>
        </w:rPr>
        <w:fldChar w:fldCharType="separate"/>
      </w:r>
      <w:r>
        <w:rPr>
          <w:rFonts w:ascii="Century Schoolbook" w:hAnsi="Century Schoolbook" w:cs="Times New Roman"/>
          <w:lang w:val="es-ES"/>
        </w:rPr>
        <w:t>28</w:t>
      </w:r>
      <w:r w:rsidRPr="003541F9">
        <w:rPr>
          <w:rFonts w:ascii="Century Schoolbook" w:hAnsi="Century Schoolbook" w:cs="Times New Roman"/>
        </w:rPr>
        <w:fldChar w:fldCharType="end"/>
      </w:r>
    </w:p>
  </w:footnote>
  <w:footnote w:id="42">
    <w:p w:rsidR="00625B3F" w:rsidRPr="003541F9" w:rsidRDefault="00625B3F" w:rsidP="00625B3F">
      <w:pPr>
        <w:pStyle w:val="FootnoteText"/>
        <w:rPr>
          <w:rFonts w:ascii="Century Schoolbook" w:hAnsi="Century Schoolbook" w:cs="Times New Roman"/>
        </w:rPr>
      </w:pPr>
      <w:r w:rsidRPr="003541F9">
        <w:rPr>
          <w:rStyle w:val="FootnoteReference"/>
          <w:rFonts w:ascii="Century Schoolbook" w:hAnsi="Century Schoolbook" w:cs="Times New Roman"/>
        </w:rPr>
        <w:footnoteRef/>
      </w:r>
      <w:r w:rsidRPr="003541F9">
        <w:rPr>
          <w:rFonts w:ascii="Century Schoolbook" w:hAnsi="Century Schoolbook" w:cs="Times New Roman"/>
        </w:rPr>
        <w:t xml:space="preserve"> </w:t>
      </w:r>
      <w:r w:rsidRPr="003541F9">
        <w:rPr>
          <w:rFonts w:ascii="Century Schoolbook" w:hAnsi="Century Schoolbook" w:cs="Times New Roman"/>
          <w:i/>
        </w:rPr>
        <w:t>Id.</w:t>
      </w:r>
    </w:p>
  </w:footnote>
  <w:footnote w:id="43">
    <w:p w:rsidR="00625B3F" w:rsidRPr="003541F9" w:rsidRDefault="00625B3F" w:rsidP="00625B3F">
      <w:pPr>
        <w:pStyle w:val="FootnoteText"/>
        <w:rPr>
          <w:rFonts w:ascii="Century Schoolbook" w:hAnsi="Century Schoolbook"/>
          <w:i/>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cs="Times New Roman"/>
          <w:i/>
        </w:rPr>
        <w:t xml:space="preserve">See </w:t>
      </w:r>
      <w:r w:rsidRPr="003541F9">
        <w:rPr>
          <w:rFonts w:ascii="Century Schoolbook" w:hAnsi="Century Schoolbook" w:cs="Times New Roman"/>
        </w:rPr>
        <w:t xml:space="preserve">Burrell, </w:t>
      </w:r>
      <w:r w:rsidRPr="003541F9">
        <w:rPr>
          <w:rFonts w:ascii="Century Schoolbook" w:hAnsi="Century Schoolbook" w:cs="Times New Roman"/>
          <w:i/>
        </w:rPr>
        <w:t xml:space="preserve">supra </w:t>
      </w:r>
      <w:r w:rsidRPr="003541F9">
        <w:rPr>
          <w:rFonts w:ascii="Century Schoolbook" w:hAnsi="Century Schoolbook" w:cs="Times New Roman"/>
        </w:rPr>
        <w:t xml:space="preserve">note 62; Candice Morgan, </w:t>
      </w:r>
      <w:r w:rsidRPr="003541F9">
        <w:rPr>
          <w:rFonts w:ascii="Century Schoolbook" w:hAnsi="Century Schoolbook" w:cs="Times New Roman"/>
          <w:i/>
        </w:rPr>
        <w:t>What We Learned from Improving Diversity Rates at Pinterest</w:t>
      </w:r>
      <w:r w:rsidRPr="003541F9">
        <w:rPr>
          <w:rFonts w:ascii="Century Schoolbook" w:hAnsi="Century Schoolbook" w:cs="Times New Roman"/>
        </w:rPr>
        <w:t xml:space="preserve">, </w:t>
      </w:r>
      <w:proofErr w:type="spellStart"/>
      <w:r w:rsidRPr="003541F9">
        <w:rPr>
          <w:rFonts w:ascii="Century Schoolbook" w:hAnsi="Century Schoolbook" w:cs="Times New Roman"/>
          <w:smallCaps/>
        </w:rPr>
        <w:t>Harv</w:t>
      </w:r>
      <w:proofErr w:type="spellEnd"/>
      <w:r w:rsidRPr="003541F9">
        <w:rPr>
          <w:rFonts w:ascii="Century Schoolbook" w:hAnsi="Century Schoolbook" w:cs="Times New Roman"/>
          <w:smallCaps/>
        </w:rPr>
        <w:t>. Bus. Rev.</w:t>
      </w:r>
      <w:r w:rsidRPr="003541F9">
        <w:rPr>
          <w:rFonts w:ascii="Century Schoolbook" w:hAnsi="Century Schoolbook" w:cs="Times New Roman"/>
        </w:rPr>
        <w:t xml:space="preserve"> (July 11, 2017), https://hbr.org/2017/07/what-we-learned-from-improving-diversity-rates-at-pinterest.</w:t>
      </w:r>
    </w:p>
  </w:footnote>
  <w:footnote w:id="44">
    <w:p w:rsidR="00625B3F" w:rsidRPr="003541F9" w:rsidRDefault="00625B3F" w:rsidP="00625B3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smallCaps/>
        </w:rPr>
        <w:t xml:space="preserve"> Scharf &amp; Liebenberg</w:t>
      </w:r>
      <w:r w:rsidRPr="003541F9">
        <w:rPr>
          <w:rFonts w:ascii="Century Schoolbook" w:hAnsi="Century Schoolbook"/>
        </w:rPr>
        <w:t xml:space="preserve">, </w:t>
      </w:r>
      <w:r w:rsidRPr="003541F9">
        <w:rPr>
          <w:rFonts w:ascii="Century Schoolbook" w:hAnsi="Century Schoolbook"/>
          <w:i/>
        </w:rPr>
        <w:t>supra</w:t>
      </w:r>
      <w:r w:rsidRPr="003541F9">
        <w:rPr>
          <w:rFonts w:ascii="Century Schoolbook" w:hAnsi="Century Schoolbook"/>
        </w:rPr>
        <w:t xml:space="preserve"> note </w:t>
      </w:r>
      <w:r w:rsidRPr="003541F9">
        <w:rPr>
          <w:rFonts w:ascii="Century Schoolbook" w:hAnsi="Century Schoolbook"/>
        </w:rPr>
        <w:fldChar w:fldCharType="begin"/>
      </w:r>
      <w:r w:rsidRPr="003541F9">
        <w:rPr>
          <w:rFonts w:ascii="Century Schoolbook" w:hAnsi="Century Schoolbook"/>
        </w:rPr>
        <w:instrText xml:space="preserve"> NOTEREF _Ref509175655 \h </w:instrText>
      </w:r>
      <w:r w:rsidRPr="002D52D3">
        <w:rPr>
          <w:rFonts w:ascii="Century Schoolbook" w:hAnsi="Century Schoolbook"/>
        </w:rPr>
        <w:instrText xml:space="preserve"> \* MERGEFORMAT </w:instrText>
      </w:r>
      <w:r w:rsidRPr="003541F9">
        <w:rPr>
          <w:rFonts w:ascii="Century Schoolbook" w:hAnsi="Century Schoolbook"/>
        </w:rPr>
      </w:r>
      <w:r w:rsidRPr="003541F9">
        <w:rPr>
          <w:rFonts w:ascii="Century Schoolbook" w:hAnsi="Century Schoolbook"/>
        </w:rPr>
        <w:fldChar w:fldCharType="separate"/>
      </w:r>
      <w:r>
        <w:rPr>
          <w:rFonts w:ascii="Century Schoolbook" w:hAnsi="Century Schoolbook"/>
        </w:rPr>
        <w:t>1</w:t>
      </w:r>
      <w:r w:rsidRPr="003541F9">
        <w:rPr>
          <w:rFonts w:ascii="Century Schoolbook" w:hAnsi="Century Schoolbook"/>
        </w:rPr>
        <w:fldChar w:fldCharType="end"/>
      </w:r>
      <w:r w:rsidRPr="003541F9">
        <w:rPr>
          <w:rFonts w:ascii="Century Schoolbook" w:hAnsi="Century Schoolbook"/>
        </w:rPr>
        <w:t xml:space="preserve">, at 10. </w:t>
      </w:r>
    </w:p>
  </w:footnote>
  <w:footnote w:id="45">
    <w:p w:rsidR="00625B3F" w:rsidRPr="003541F9" w:rsidRDefault="00625B3F" w:rsidP="00625B3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cs="Times New Roman"/>
          <w:i/>
        </w:rPr>
        <w:t xml:space="preserve">Id. </w:t>
      </w:r>
      <w:r w:rsidRPr="003541F9">
        <w:rPr>
          <w:rFonts w:ascii="Century Schoolbook" w:hAnsi="Century Schoolbook" w:cs="Times New Roman"/>
        </w:rPr>
        <w:t>at 16.</w:t>
      </w:r>
    </w:p>
  </w:footnote>
  <w:footnote w:id="46">
    <w:p w:rsidR="00625B3F" w:rsidRPr="003541F9" w:rsidRDefault="00625B3F" w:rsidP="00625B3F">
      <w:pPr>
        <w:pStyle w:val="FootnoteText"/>
        <w:rPr>
          <w:rFonts w:ascii="Century Schoolbook" w:hAnsi="Century Schoolbook" w:cs="Times New Roman"/>
        </w:rPr>
      </w:pPr>
      <w:r w:rsidRPr="003541F9">
        <w:rPr>
          <w:rStyle w:val="FootnoteReference"/>
          <w:rFonts w:ascii="Century Schoolbook" w:hAnsi="Century Schoolbook" w:cs="Times New Roman"/>
        </w:rPr>
        <w:footnoteRef/>
      </w:r>
      <w:r w:rsidRPr="003541F9">
        <w:rPr>
          <w:rFonts w:ascii="Century Schoolbook" w:hAnsi="Century Schoolbook" w:cs="Times New Roman"/>
        </w:rPr>
        <w:t xml:space="preserve"> </w:t>
      </w:r>
      <w:r w:rsidRPr="002D52D3">
        <w:rPr>
          <w:rFonts w:ascii="Century Schoolbook" w:hAnsi="Century Schoolbook" w:cs="Times New Roman"/>
          <w:smallCaps/>
        </w:rPr>
        <w:t>Manual (Fourth),</w:t>
      </w:r>
      <w:r w:rsidRPr="003541F9">
        <w:rPr>
          <w:rFonts w:ascii="Century Schoolbook" w:hAnsi="Century Schoolbook" w:cs="Times New Roman"/>
        </w:rPr>
        <w:t xml:space="preserve"> </w:t>
      </w:r>
      <w:r w:rsidRPr="002D52D3">
        <w:rPr>
          <w:rFonts w:ascii="Century Schoolbook" w:hAnsi="Century Schoolbook" w:cs="Times New Roman"/>
          <w:i/>
        </w:rPr>
        <w:t xml:space="preserve">supra </w:t>
      </w:r>
      <w:r w:rsidRPr="002D52D3">
        <w:rPr>
          <w:rFonts w:ascii="Century Schoolbook" w:hAnsi="Century Schoolbook" w:cs="Times New Roman"/>
        </w:rPr>
        <w:t xml:space="preserve">note [34], </w:t>
      </w:r>
      <w:r w:rsidRPr="003541F9">
        <w:rPr>
          <w:rFonts w:ascii="Century Schoolbook" w:hAnsi="Century Schoolbook" w:cs="Times New Roman"/>
        </w:rPr>
        <w:t>§ 10.22</w:t>
      </w:r>
      <w:r w:rsidRPr="002D52D3">
        <w:rPr>
          <w:rFonts w:ascii="Century Schoolbook" w:hAnsi="Century Schoolbook" w:cs="Times New Roman"/>
        </w:rPr>
        <w:t>.</w:t>
      </w:r>
    </w:p>
  </w:footnote>
  <w:footnote w:id="47">
    <w:p w:rsidR="00625B3F" w:rsidRPr="003541F9" w:rsidRDefault="00625B3F" w:rsidP="00625B3F">
      <w:pPr>
        <w:pStyle w:val="FootnoteText"/>
        <w:rPr>
          <w:rFonts w:ascii="Century Schoolbook" w:hAnsi="Century Schoolbook"/>
          <w:i/>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cs="Times New Roman"/>
        </w:rPr>
        <w:t xml:space="preserve">Nationwide, only 17 percent of equity partners are women.  Deborah Chang &amp; Sonia Chopra, </w:t>
      </w:r>
      <w:r w:rsidRPr="003541F9">
        <w:rPr>
          <w:rFonts w:ascii="Century Schoolbook" w:hAnsi="Century Schoolbook" w:cs="Times New Roman"/>
          <w:i/>
        </w:rPr>
        <w:t xml:space="preserve">Where </w:t>
      </w:r>
      <w:r w:rsidRPr="002D52D3">
        <w:rPr>
          <w:rFonts w:ascii="Century Schoolbook" w:hAnsi="Century Schoolbook" w:cs="Times New Roman"/>
          <w:i/>
        </w:rPr>
        <w:t>A</w:t>
      </w:r>
      <w:r w:rsidRPr="003541F9">
        <w:rPr>
          <w:rFonts w:ascii="Century Schoolbook" w:hAnsi="Century Schoolbook" w:cs="Times New Roman"/>
          <w:i/>
        </w:rPr>
        <w:t xml:space="preserve">re </w:t>
      </w:r>
      <w:r w:rsidRPr="002D52D3">
        <w:rPr>
          <w:rFonts w:ascii="Century Schoolbook" w:hAnsi="Century Schoolbook" w:cs="Times New Roman"/>
          <w:i/>
        </w:rPr>
        <w:t>A</w:t>
      </w:r>
      <w:r w:rsidRPr="003541F9">
        <w:rPr>
          <w:rFonts w:ascii="Century Schoolbook" w:hAnsi="Century Schoolbook" w:cs="Times New Roman"/>
          <w:i/>
        </w:rPr>
        <w:t xml:space="preserve">ll the </w:t>
      </w:r>
      <w:r w:rsidRPr="002D52D3">
        <w:rPr>
          <w:rFonts w:ascii="Century Schoolbook" w:hAnsi="Century Schoolbook" w:cs="Times New Roman"/>
          <w:i/>
        </w:rPr>
        <w:t>W</w:t>
      </w:r>
      <w:r w:rsidRPr="003541F9">
        <w:rPr>
          <w:rFonts w:ascii="Century Schoolbook" w:hAnsi="Century Schoolbook" w:cs="Times New Roman"/>
          <w:i/>
        </w:rPr>
        <w:t xml:space="preserve">omen </w:t>
      </w:r>
      <w:r w:rsidRPr="002D52D3">
        <w:rPr>
          <w:rFonts w:ascii="Century Schoolbook" w:hAnsi="Century Schoolbook" w:cs="Times New Roman"/>
          <w:i/>
        </w:rPr>
        <w:t>L</w:t>
      </w:r>
      <w:r w:rsidRPr="003541F9">
        <w:rPr>
          <w:rFonts w:ascii="Century Schoolbook" w:hAnsi="Century Schoolbook" w:cs="Times New Roman"/>
          <w:i/>
        </w:rPr>
        <w:t xml:space="preserve">awyers? Diversity in the </w:t>
      </w:r>
      <w:r w:rsidRPr="002D52D3">
        <w:rPr>
          <w:rFonts w:ascii="Century Schoolbook" w:hAnsi="Century Schoolbook" w:cs="Times New Roman"/>
          <w:i/>
        </w:rPr>
        <w:t>L</w:t>
      </w:r>
      <w:r w:rsidRPr="003541F9">
        <w:rPr>
          <w:rFonts w:ascii="Century Schoolbook" w:hAnsi="Century Schoolbook" w:cs="Times New Roman"/>
          <w:i/>
        </w:rPr>
        <w:t xml:space="preserve">egal </w:t>
      </w:r>
      <w:r w:rsidRPr="002D52D3">
        <w:rPr>
          <w:rFonts w:ascii="Century Schoolbook" w:hAnsi="Century Schoolbook" w:cs="Times New Roman"/>
          <w:i/>
        </w:rPr>
        <w:t>P</w:t>
      </w:r>
      <w:r w:rsidRPr="003541F9">
        <w:rPr>
          <w:rFonts w:ascii="Century Schoolbook" w:hAnsi="Century Schoolbook" w:cs="Times New Roman"/>
          <w:i/>
        </w:rPr>
        <w:t>rofession in California: 2015</w:t>
      </w:r>
      <w:r w:rsidRPr="003541F9">
        <w:rPr>
          <w:rFonts w:ascii="Century Schoolbook" w:hAnsi="Century Schoolbook" w:cs="Times New Roman"/>
        </w:rPr>
        <w:t xml:space="preserve">, </w:t>
      </w:r>
      <w:r w:rsidRPr="003541F9">
        <w:rPr>
          <w:rFonts w:ascii="Century Schoolbook" w:hAnsi="Century Schoolbook" w:cs="Times New Roman"/>
          <w:smallCaps/>
        </w:rPr>
        <w:t>Forum</w:t>
      </w:r>
      <w:r w:rsidRPr="003541F9">
        <w:rPr>
          <w:rFonts w:ascii="Century Schoolbook" w:hAnsi="Century Schoolbook" w:cs="Times New Roman"/>
        </w:rPr>
        <w:t xml:space="preserve"> 18, 19 (2015), http://www.njp.com/wp-content/uploads/article/article36.pdf.  Not only do those women earn less than their male counterparts, but as non-equity partners, they often lack the clout to steer significant money and time to a MDL.  </w:t>
      </w:r>
      <w:r w:rsidRPr="003541F9">
        <w:rPr>
          <w:rFonts w:ascii="Century Schoolbook" w:hAnsi="Century Schoolbook" w:cs="Times New Roman"/>
          <w:i/>
        </w:rPr>
        <w:t>See id.</w:t>
      </w:r>
    </w:p>
  </w:footnote>
  <w:footnote w:id="48">
    <w:p w:rsidR="00625B3F" w:rsidRPr="003541F9" w:rsidRDefault="00625B3F" w:rsidP="00625B3F">
      <w:pPr>
        <w:pStyle w:val="FootnoteText"/>
        <w:rPr>
          <w:rFonts w:ascii="Century Schoolbook" w:hAnsi="Century Schoolbook" w:cs="Times New Roman"/>
        </w:rPr>
      </w:pPr>
      <w:r w:rsidRPr="003541F9">
        <w:rPr>
          <w:rStyle w:val="FootnoteReference"/>
          <w:rFonts w:ascii="Century Schoolbook" w:hAnsi="Century Schoolbook" w:cs="Times New Roman"/>
        </w:rPr>
        <w:footnoteRef/>
      </w:r>
      <w:r w:rsidRPr="003541F9">
        <w:rPr>
          <w:rFonts w:ascii="Century Schoolbook" w:hAnsi="Century Schoolbook" w:cs="Times New Roman"/>
        </w:rPr>
        <w:t xml:space="preserve"> </w:t>
      </w:r>
      <w:r w:rsidRPr="003541F9">
        <w:rPr>
          <w:rFonts w:ascii="Century Schoolbook" w:hAnsi="Century Schoolbook" w:cs="Times New Roman"/>
          <w:i/>
        </w:rPr>
        <w:t>See generally</w:t>
      </w:r>
      <w:r w:rsidRPr="003541F9">
        <w:rPr>
          <w:rFonts w:ascii="Century Schoolbook" w:hAnsi="Century Schoolbook" w:cs="Times New Roman"/>
        </w:rPr>
        <w:t xml:space="preserve"> </w:t>
      </w:r>
      <w:r w:rsidRPr="002D52D3">
        <w:rPr>
          <w:rFonts w:ascii="Century Schoolbook" w:hAnsi="Century Schoolbook" w:cs="Times New Roman"/>
        </w:rPr>
        <w:t xml:space="preserve">Burch &amp; Williams, </w:t>
      </w:r>
      <w:r w:rsidRPr="002D52D3">
        <w:rPr>
          <w:rFonts w:ascii="Century Schoolbook" w:hAnsi="Century Schoolbook" w:cs="Times New Roman"/>
          <w:i/>
        </w:rPr>
        <w:t xml:space="preserve">Repeat Players </w:t>
      </w:r>
      <w:proofErr w:type="gramStart"/>
      <w:r w:rsidRPr="002D52D3">
        <w:rPr>
          <w:rFonts w:ascii="Century Schoolbook" w:hAnsi="Century Schoolbook" w:cs="Times New Roman"/>
          <w:i/>
        </w:rPr>
        <w:t>In</w:t>
      </w:r>
      <w:proofErr w:type="gramEnd"/>
      <w:r w:rsidRPr="002D52D3">
        <w:rPr>
          <w:rFonts w:ascii="Century Schoolbook" w:hAnsi="Century Schoolbook" w:cs="Times New Roman"/>
          <w:i/>
        </w:rPr>
        <w:t xml:space="preserve"> Multidistrict Litigation</w:t>
      </w:r>
      <w:r w:rsidRPr="002D52D3">
        <w:rPr>
          <w:rFonts w:ascii="Century Schoolbook" w:hAnsi="Century Schoolbook" w:cs="Times New Roman"/>
        </w:rPr>
        <w:t xml:space="preserve">, </w:t>
      </w:r>
      <w:r w:rsidRPr="002D52D3">
        <w:rPr>
          <w:rFonts w:ascii="Century Schoolbook" w:hAnsi="Century Schoolbook" w:cs="Times New Roman"/>
          <w:i/>
        </w:rPr>
        <w:t xml:space="preserve">supra </w:t>
      </w:r>
      <w:r w:rsidRPr="002D52D3">
        <w:rPr>
          <w:rFonts w:ascii="Century Schoolbook" w:hAnsi="Century Schoolbook" w:cs="Times New Roman"/>
        </w:rPr>
        <w:t xml:space="preserve">note </w:t>
      </w:r>
      <w:r w:rsidRPr="003541F9">
        <w:rPr>
          <w:rFonts w:ascii="Century Schoolbook" w:hAnsi="Century Schoolbook" w:cs="Times New Roman"/>
        </w:rPr>
        <w:fldChar w:fldCharType="begin"/>
      </w:r>
      <w:r w:rsidRPr="002D52D3">
        <w:rPr>
          <w:rFonts w:ascii="Century Schoolbook" w:hAnsi="Century Schoolbook" w:cs="Times New Roman"/>
        </w:rPr>
        <w:instrText xml:space="preserve"> NOTEREF _Ref510622369 \h  \* MERGEFORMAT </w:instrText>
      </w:r>
      <w:r w:rsidRPr="003541F9">
        <w:rPr>
          <w:rFonts w:ascii="Century Schoolbook" w:hAnsi="Century Schoolbook" w:cs="Times New Roman"/>
        </w:rPr>
      </w:r>
      <w:r w:rsidRPr="003541F9">
        <w:rPr>
          <w:rFonts w:ascii="Century Schoolbook" w:hAnsi="Century Schoolbook" w:cs="Times New Roman"/>
        </w:rPr>
        <w:fldChar w:fldCharType="separate"/>
      </w:r>
      <w:r>
        <w:rPr>
          <w:rFonts w:ascii="Century Schoolbook" w:hAnsi="Century Schoolbook" w:cs="Times New Roman"/>
          <w:b/>
          <w:bCs/>
        </w:rPr>
        <w:t xml:space="preserve">Error! Bookmark not </w:t>
      </w:r>
      <w:proofErr w:type="gramStart"/>
      <w:r>
        <w:rPr>
          <w:rFonts w:ascii="Century Schoolbook" w:hAnsi="Century Schoolbook" w:cs="Times New Roman"/>
          <w:b/>
          <w:bCs/>
        </w:rPr>
        <w:t>defined.</w:t>
      </w:r>
      <w:r w:rsidRPr="003541F9">
        <w:rPr>
          <w:rFonts w:ascii="Century Schoolbook" w:hAnsi="Century Schoolbook" w:cs="Times New Roman"/>
        </w:rPr>
        <w:fldChar w:fldCharType="end"/>
      </w:r>
      <w:r w:rsidRPr="002D52D3">
        <w:rPr>
          <w:rFonts w:ascii="Century Schoolbook" w:hAnsi="Century Schoolbook" w:cs="Times New Roman"/>
        </w:rPr>
        <w:t>;</w:t>
      </w:r>
      <w:proofErr w:type="gramEnd"/>
      <w:r w:rsidRPr="002D52D3">
        <w:rPr>
          <w:rFonts w:ascii="Century Schoolbook" w:hAnsi="Century Schoolbook" w:cs="Times New Roman"/>
        </w:rPr>
        <w:t xml:space="preserve"> Burch, </w:t>
      </w:r>
      <w:r w:rsidRPr="002D52D3">
        <w:rPr>
          <w:rFonts w:ascii="Century Schoolbook" w:hAnsi="Century Schoolbook" w:cs="Times New Roman"/>
          <w:i/>
        </w:rPr>
        <w:t>Monopolies in Multidistrict Litigation</w:t>
      </w:r>
      <w:r w:rsidRPr="002D52D3">
        <w:rPr>
          <w:rFonts w:ascii="Century Schoolbook" w:hAnsi="Century Schoolbook" w:cs="Times New Roman"/>
        </w:rPr>
        <w:t xml:space="preserve">, </w:t>
      </w:r>
      <w:r w:rsidRPr="002D52D3">
        <w:rPr>
          <w:rFonts w:ascii="Century Schoolbook" w:hAnsi="Century Schoolbook" w:cs="Times New Roman"/>
          <w:i/>
        </w:rPr>
        <w:t xml:space="preserve">supra </w:t>
      </w:r>
      <w:r w:rsidRPr="002D52D3">
        <w:rPr>
          <w:rFonts w:ascii="Century Schoolbook" w:hAnsi="Century Schoolbook" w:cs="Times New Roman"/>
        </w:rPr>
        <w:t xml:space="preserve">note </w:t>
      </w:r>
      <w:r w:rsidRPr="003541F9">
        <w:rPr>
          <w:rFonts w:ascii="Century Schoolbook" w:hAnsi="Century Schoolbook" w:cs="Times New Roman"/>
        </w:rPr>
        <w:fldChar w:fldCharType="begin"/>
      </w:r>
      <w:r w:rsidRPr="002D52D3">
        <w:rPr>
          <w:rFonts w:ascii="Century Schoolbook" w:hAnsi="Century Schoolbook" w:cs="Times New Roman"/>
        </w:rPr>
        <w:instrText xml:space="preserve"> NOTEREF _Ref510622369 \h  \* MERGEFORMAT </w:instrText>
      </w:r>
      <w:r w:rsidRPr="003541F9">
        <w:rPr>
          <w:rFonts w:ascii="Century Schoolbook" w:hAnsi="Century Schoolbook" w:cs="Times New Roman"/>
        </w:rPr>
      </w:r>
      <w:r w:rsidRPr="003541F9">
        <w:rPr>
          <w:rFonts w:ascii="Century Schoolbook" w:hAnsi="Century Schoolbook" w:cs="Times New Roman"/>
        </w:rPr>
        <w:fldChar w:fldCharType="separate"/>
      </w:r>
      <w:r>
        <w:rPr>
          <w:rFonts w:ascii="Century Schoolbook" w:hAnsi="Century Schoolbook" w:cs="Times New Roman"/>
          <w:b/>
          <w:bCs/>
        </w:rPr>
        <w:t xml:space="preserve">Error! Bookmark not </w:t>
      </w:r>
      <w:proofErr w:type="gramStart"/>
      <w:r>
        <w:rPr>
          <w:rFonts w:ascii="Century Schoolbook" w:hAnsi="Century Schoolbook" w:cs="Times New Roman"/>
          <w:b/>
          <w:bCs/>
        </w:rPr>
        <w:t>defined.</w:t>
      </w:r>
      <w:r w:rsidRPr="003541F9">
        <w:rPr>
          <w:rFonts w:ascii="Century Schoolbook" w:hAnsi="Century Schoolbook" w:cs="Times New Roman"/>
        </w:rPr>
        <w:fldChar w:fldCharType="end"/>
      </w:r>
      <w:r w:rsidRPr="002D52D3">
        <w:rPr>
          <w:rFonts w:ascii="Century Schoolbook" w:hAnsi="Century Schoolbook" w:cs="Times New Roman"/>
        </w:rPr>
        <w:t>;</w:t>
      </w:r>
      <w:proofErr w:type="gramEnd"/>
      <w:r w:rsidRPr="002D52D3">
        <w:rPr>
          <w:rFonts w:ascii="Century Schoolbook" w:hAnsi="Century Schoolbook" w:cs="Times New Roman"/>
        </w:rPr>
        <w:t xml:space="preserve"> </w:t>
      </w:r>
      <w:r w:rsidRPr="002D52D3">
        <w:rPr>
          <w:rFonts w:ascii="Century Schoolbook" w:hAnsi="Century Schoolbook"/>
        </w:rPr>
        <w:t xml:space="preserve">Burch, </w:t>
      </w:r>
      <w:r w:rsidRPr="002D52D3">
        <w:rPr>
          <w:rFonts w:ascii="Century Schoolbook" w:hAnsi="Century Schoolbook"/>
          <w:i/>
        </w:rPr>
        <w:t>Judging Multidistrict Litigation</w:t>
      </w:r>
      <w:r w:rsidRPr="002D52D3">
        <w:rPr>
          <w:rFonts w:ascii="Century Schoolbook" w:hAnsi="Century Schoolbook"/>
        </w:rPr>
        <w:t xml:space="preserve">, </w:t>
      </w:r>
      <w:r w:rsidRPr="002D52D3">
        <w:rPr>
          <w:rFonts w:ascii="Century Schoolbook" w:hAnsi="Century Schoolbook"/>
          <w:i/>
        </w:rPr>
        <w:t xml:space="preserve">supra </w:t>
      </w:r>
      <w:r w:rsidRPr="002D52D3">
        <w:rPr>
          <w:rFonts w:ascii="Century Schoolbook" w:hAnsi="Century Schoolbook"/>
        </w:rPr>
        <w:t xml:space="preserve">note </w:t>
      </w:r>
      <w:r w:rsidRPr="003541F9">
        <w:rPr>
          <w:rFonts w:ascii="Century Schoolbook" w:hAnsi="Century Schoolbook"/>
        </w:rPr>
        <w:fldChar w:fldCharType="begin"/>
      </w:r>
      <w:r w:rsidRPr="002D52D3">
        <w:rPr>
          <w:rFonts w:ascii="Century Schoolbook" w:hAnsi="Century Schoolbook"/>
        </w:rPr>
        <w:instrText xml:space="preserve"> NOTEREF _Ref510618808 \h  \* MERGEFORMAT </w:instrText>
      </w:r>
      <w:r w:rsidRPr="003541F9">
        <w:rPr>
          <w:rFonts w:ascii="Century Schoolbook" w:hAnsi="Century Schoolbook"/>
        </w:rPr>
      </w:r>
      <w:r w:rsidRPr="003541F9">
        <w:rPr>
          <w:rFonts w:ascii="Century Schoolbook" w:hAnsi="Century Schoolbook"/>
        </w:rPr>
        <w:fldChar w:fldCharType="separate"/>
      </w:r>
      <w:r>
        <w:rPr>
          <w:rFonts w:ascii="Century Schoolbook" w:hAnsi="Century Schoolbook"/>
        </w:rPr>
        <w:t>81</w:t>
      </w:r>
      <w:r w:rsidRPr="003541F9">
        <w:rPr>
          <w:rFonts w:ascii="Century Schoolbook" w:hAnsi="Century Schoolbook"/>
        </w:rPr>
        <w:fldChar w:fldCharType="end"/>
      </w:r>
      <w:r w:rsidRPr="002D52D3">
        <w:rPr>
          <w:rFonts w:ascii="Century Schoolbook" w:hAnsi="Century Schoolbook"/>
        </w:rPr>
        <w:t xml:space="preserve">; </w:t>
      </w:r>
      <w:proofErr w:type="spellStart"/>
      <w:r w:rsidRPr="003541F9">
        <w:rPr>
          <w:rFonts w:ascii="Century Schoolbook" w:hAnsi="Century Schoolbook" w:cs="Times New Roman"/>
        </w:rPr>
        <w:t>Bronstad</w:t>
      </w:r>
      <w:proofErr w:type="spellEnd"/>
      <w:r w:rsidRPr="003541F9">
        <w:rPr>
          <w:rFonts w:ascii="Century Schoolbook" w:hAnsi="Century Schoolbook" w:cs="Times New Roman"/>
        </w:rPr>
        <w:t xml:space="preserve">, </w:t>
      </w:r>
      <w:r w:rsidRPr="003541F9">
        <w:rPr>
          <w:rFonts w:ascii="Century Schoolbook" w:hAnsi="Century Schoolbook" w:cs="Times New Roman"/>
          <w:i/>
        </w:rPr>
        <w:t xml:space="preserve">supra </w:t>
      </w:r>
      <w:r w:rsidRPr="003541F9">
        <w:rPr>
          <w:rFonts w:ascii="Century Schoolbook" w:hAnsi="Century Schoolbook" w:cs="Times New Roman"/>
        </w:rPr>
        <w:t>note</w:t>
      </w:r>
      <w:r w:rsidRPr="002D52D3">
        <w:rPr>
          <w:rFonts w:ascii="Century Schoolbook" w:hAnsi="Century Schoolbook" w:cs="Times New Roman"/>
        </w:rPr>
        <w:t xml:space="preserve"> </w:t>
      </w:r>
      <w:r w:rsidRPr="003541F9">
        <w:rPr>
          <w:rFonts w:ascii="Century Schoolbook" w:hAnsi="Century Schoolbook" w:cs="Times New Roman"/>
        </w:rPr>
        <w:fldChar w:fldCharType="begin"/>
      </w:r>
      <w:r w:rsidRPr="002D52D3">
        <w:rPr>
          <w:rFonts w:ascii="Century Schoolbook" w:hAnsi="Century Schoolbook" w:cs="Times New Roman"/>
        </w:rPr>
        <w:instrText xml:space="preserve"> NOTEREF _Ref510622369 \h  \* MERGEFORMAT </w:instrText>
      </w:r>
      <w:r w:rsidRPr="003541F9">
        <w:rPr>
          <w:rFonts w:ascii="Century Schoolbook" w:hAnsi="Century Schoolbook" w:cs="Times New Roman"/>
        </w:rPr>
      </w:r>
      <w:r w:rsidRPr="003541F9">
        <w:rPr>
          <w:rFonts w:ascii="Century Schoolbook" w:hAnsi="Century Schoolbook" w:cs="Times New Roman"/>
        </w:rPr>
        <w:fldChar w:fldCharType="separate"/>
      </w:r>
      <w:r>
        <w:rPr>
          <w:rFonts w:ascii="Century Schoolbook" w:hAnsi="Century Schoolbook" w:cs="Times New Roman"/>
          <w:b/>
          <w:bCs/>
        </w:rPr>
        <w:t xml:space="preserve">Error! Bookmark not </w:t>
      </w:r>
      <w:proofErr w:type="gramStart"/>
      <w:r>
        <w:rPr>
          <w:rFonts w:ascii="Century Schoolbook" w:hAnsi="Century Schoolbook" w:cs="Times New Roman"/>
          <w:b/>
          <w:bCs/>
        </w:rPr>
        <w:t>defined.</w:t>
      </w:r>
      <w:r w:rsidRPr="003541F9">
        <w:rPr>
          <w:rFonts w:ascii="Century Schoolbook" w:hAnsi="Century Schoolbook" w:cs="Times New Roman"/>
        </w:rPr>
        <w:fldChar w:fldCharType="end"/>
      </w:r>
      <w:r w:rsidRPr="003541F9">
        <w:rPr>
          <w:rFonts w:ascii="Century Schoolbook" w:hAnsi="Century Schoolbook" w:cs="Times New Roman"/>
        </w:rPr>
        <w:t>;</w:t>
      </w:r>
      <w:proofErr w:type="gramEnd"/>
      <w:r w:rsidRPr="003541F9">
        <w:rPr>
          <w:rFonts w:ascii="Century Schoolbook" w:hAnsi="Century Schoolbook" w:cs="Times New Roman"/>
        </w:rPr>
        <w:t xml:space="preserve"> Hobbs, </w:t>
      </w:r>
      <w:r w:rsidRPr="003541F9">
        <w:rPr>
          <w:rFonts w:ascii="Century Schoolbook" w:hAnsi="Century Schoolbook" w:cs="Times New Roman"/>
          <w:i/>
        </w:rPr>
        <w:t xml:space="preserve">supra </w:t>
      </w:r>
      <w:r w:rsidRPr="003541F9">
        <w:rPr>
          <w:rFonts w:ascii="Century Schoolbook" w:hAnsi="Century Schoolbook" w:cs="Times New Roman"/>
        </w:rPr>
        <w:t xml:space="preserve">note </w:t>
      </w:r>
      <w:r w:rsidRPr="003541F9">
        <w:rPr>
          <w:rFonts w:ascii="Century Schoolbook" w:hAnsi="Century Schoolbook" w:cs="Times New Roman"/>
        </w:rPr>
        <w:fldChar w:fldCharType="begin"/>
      </w:r>
      <w:r w:rsidRPr="002D52D3">
        <w:rPr>
          <w:rFonts w:ascii="Century Schoolbook" w:hAnsi="Century Schoolbook" w:cs="Times New Roman"/>
        </w:rPr>
        <w:instrText xml:space="preserve"> NOTEREF _Ref510622369 \h  \* MERGEFORMAT </w:instrText>
      </w:r>
      <w:r w:rsidRPr="003541F9">
        <w:rPr>
          <w:rFonts w:ascii="Century Schoolbook" w:hAnsi="Century Schoolbook" w:cs="Times New Roman"/>
        </w:rPr>
      </w:r>
      <w:r w:rsidRPr="003541F9">
        <w:rPr>
          <w:rFonts w:ascii="Century Schoolbook" w:hAnsi="Century Schoolbook" w:cs="Times New Roman"/>
        </w:rPr>
        <w:fldChar w:fldCharType="separate"/>
      </w:r>
      <w:r>
        <w:rPr>
          <w:rFonts w:ascii="Century Schoolbook" w:hAnsi="Century Schoolbook" w:cs="Times New Roman"/>
          <w:b/>
          <w:bCs/>
        </w:rPr>
        <w:t>Error! Bookmark not defined.</w:t>
      </w:r>
      <w:r w:rsidRPr="003541F9">
        <w:rPr>
          <w:rFonts w:ascii="Century Schoolbook" w:hAnsi="Century Schoolbook" w:cs="Times New Roman"/>
        </w:rPr>
        <w:fldChar w:fldCharType="end"/>
      </w:r>
      <w:r w:rsidRPr="003541F9">
        <w:rPr>
          <w:rFonts w:ascii="Century Schoolbook" w:hAnsi="Century Schoolbook"/>
        </w:rPr>
        <w:t>.</w:t>
      </w:r>
    </w:p>
  </w:footnote>
  <w:footnote w:id="49">
    <w:p w:rsidR="00625B3F" w:rsidRPr="003541F9" w:rsidRDefault="00625B3F" w:rsidP="00625B3F">
      <w:pPr>
        <w:pStyle w:val="FootnoteText"/>
        <w:rPr>
          <w:rFonts w:ascii="Century Schoolbook" w:hAnsi="Century Schoolbook"/>
        </w:rPr>
      </w:pPr>
      <w:r w:rsidRPr="003541F9">
        <w:rPr>
          <w:rStyle w:val="FootnoteReference"/>
          <w:rFonts w:ascii="Century Schoolbook" w:hAnsi="Century Schoolbook"/>
        </w:rPr>
        <w:footnoteRef/>
      </w:r>
      <w:r w:rsidRPr="002D52D3">
        <w:rPr>
          <w:rFonts w:ascii="Century Schoolbook" w:hAnsi="Century Schoolbook"/>
        </w:rPr>
        <w:t xml:space="preserve"> </w:t>
      </w:r>
      <w:r w:rsidRPr="003541F9">
        <w:rPr>
          <w:rFonts w:ascii="Century Schoolbook" w:hAnsi="Century Schoolbook" w:cs="Times New Roman"/>
        </w:rPr>
        <w:t xml:space="preserve">Burch &amp; Williams, </w:t>
      </w:r>
      <w:r w:rsidRPr="003541F9">
        <w:rPr>
          <w:rFonts w:ascii="Century Schoolbook" w:hAnsi="Century Schoolbook" w:cs="Times New Roman"/>
          <w:i/>
        </w:rPr>
        <w:t xml:space="preserve">Repeat Players </w:t>
      </w:r>
      <w:proofErr w:type="gramStart"/>
      <w:r w:rsidRPr="003541F9">
        <w:rPr>
          <w:rFonts w:ascii="Century Schoolbook" w:hAnsi="Century Schoolbook" w:cs="Times New Roman"/>
          <w:i/>
        </w:rPr>
        <w:t>In</w:t>
      </w:r>
      <w:proofErr w:type="gramEnd"/>
      <w:r w:rsidRPr="003541F9">
        <w:rPr>
          <w:rFonts w:ascii="Century Schoolbook" w:hAnsi="Century Schoolbook" w:cs="Times New Roman"/>
          <w:i/>
        </w:rPr>
        <w:t xml:space="preserve"> Multidistrict Litigation</w:t>
      </w:r>
      <w:r w:rsidRPr="003541F9">
        <w:rPr>
          <w:rFonts w:ascii="Century Schoolbook" w:hAnsi="Century Schoolbook" w:cs="Times New Roman"/>
        </w:rPr>
        <w:t xml:space="preserve">, </w:t>
      </w:r>
      <w:r w:rsidRPr="003541F9">
        <w:rPr>
          <w:rFonts w:ascii="Century Schoolbook" w:hAnsi="Century Schoolbook" w:cs="Times New Roman"/>
          <w:i/>
        </w:rPr>
        <w:t xml:space="preserve">supra </w:t>
      </w:r>
      <w:r w:rsidRPr="003541F9">
        <w:rPr>
          <w:rFonts w:ascii="Century Schoolbook" w:hAnsi="Century Schoolbook" w:cs="Times New Roman"/>
        </w:rPr>
        <w:t>note</w:t>
      </w:r>
      <w:r w:rsidRPr="002D52D3">
        <w:rPr>
          <w:rFonts w:ascii="Century Schoolbook" w:hAnsi="Century Schoolbook" w:cs="Times New Roman"/>
        </w:rPr>
        <w:t xml:space="preserve"> </w:t>
      </w:r>
      <w:r w:rsidRPr="003541F9">
        <w:rPr>
          <w:rFonts w:ascii="Century Schoolbook" w:hAnsi="Century Schoolbook" w:cs="Times New Roman"/>
        </w:rPr>
        <w:fldChar w:fldCharType="begin"/>
      </w:r>
      <w:r w:rsidRPr="002D52D3">
        <w:rPr>
          <w:rFonts w:ascii="Century Schoolbook" w:hAnsi="Century Schoolbook" w:cs="Times New Roman"/>
        </w:rPr>
        <w:instrText xml:space="preserve"> NOTEREF _Ref510622369 \h  \* MERGEFORMAT </w:instrText>
      </w:r>
      <w:r w:rsidRPr="003541F9">
        <w:rPr>
          <w:rFonts w:ascii="Century Schoolbook" w:hAnsi="Century Schoolbook" w:cs="Times New Roman"/>
        </w:rPr>
      </w:r>
      <w:r w:rsidRPr="003541F9">
        <w:rPr>
          <w:rFonts w:ascii="Century Schoolbook" w:hAnsi="Century Schoolbook" w:cs="Times New Roman"/>
        </w:rPr>
        <w:fldChar w:fldCharType="separate"/>
      </w:r>
      <w:r>
        <w:rPr>
          <w:rFonts w:ascii="Century Schoolbook" w:hAnsi="Century Schoolbook" w:cs="Times New Roman"/>
          <w:b/>
          <w:bCs/>
        </w:rPr>
        <w:t>Error! Bookmark not defined.</w:t>
      </w:r>
      <w:r w:rsidRPr="003541F9">
        <w:rPr>
          <w:rFonts w:ascii="Century Schoolbook" w:hAnsi="Century Schoolbook" w:cs="Times New Roman"/>
        </w:rPr>
        <w:fldChar w:fldCharType="end"/>
      </w:r>
      <w:r w:rsidRPr="002D52D3">
        <w:rPr>
          <w:rFonts w:ascii="Century Schoolbook" w:hAnsi="Century Schoolbook" w:cs="Times New Roman"/>
        </w:rPr>
        <w:t>.</w:t>
      </w:r>
    </w:p>
  </w:footnote>
  <w:footnote w:id="50">
    <w:p w:rsidR="00625B3F" w:rsidRPr="003541F9" w:rsidRDefault="00625B3F" w:rsidP="00625B3F">
      <w:pPr>
        <w:pStyle w:val="FootnoteText"/>
        <w:rPr>
          <w:rFonts w:ascii="Century Schoolbook" w:hAnsi="Century Schoolbook" w:cs="Times New Roman"/>
        </w:rPr>
      </w:pPr>
      <w:r w:rsidRPr="003541F9">
        <w:rPr>
          <w:rStyle w:val="FootnoteReference"/>
          <w:rFonts w:ascii="Century Schoolbook" w:hAnsi="Century Schoolbook" w:cs="Times New Roman"/>
        </w:rPr>
        <w:footnoteRef/>
      </w:r>
      <w:r w:rsidRPr="003541F9">
        <w:rPr>
          <w:rFonts w:ascii="Century Schoolbook" w:hAnsi="Century Schoolbook" w:cs="Times New Roman"/>
        </w:rPr>
        <w:t xml:space="preserve"> </w:t>
      </w:r>
      <w:r w:rsidRPr="003541F9">
        <w:rPr>
          <w:rFonts w:ascii="Century Schoolbook" w:hAnsi="Century Schoolbook" w:cs="Times New Roman"/>
          <w:smallCaps/>
        </w:rPr>
        <w:t xml:space="preserve">Dana </w:t>
      </w:r>
      <w:proofErr w:type="spellStart"/>
      <w:r w:rsidRPr="003541F9">
        <w:rPr>
          <w:rFonts w:ascii="Century Schoolbook" w:hAnsi="Century Schoolbook" w:cs="Times New Roman"/>
          <w:smallCaps/>
        </w:rPr>
        <w:t>Alvaré</w:t>
      </w:r>
      <w:proofErr w:type="spellEnd"/>
      <w:r w:rsidRPr="003541F9">
        <w:rPr>
          <w:rFonts w:ascii="Century Schoolbook" w:hAnsi="Century Schoolbook" w:cs="Times New Roman"/>
          <w:smallCaps/>
        </w:rPr>
        <w:t xml:space="preserve">, </w:t>
      </w:r>
      <w:r w:rsidRPr="003541F9">
        <w:rPr>
          <w:rFonts w:ascii="Century Schoolbook" w:hAnsi="Century Schoolbook" w:cs="Times New Roman"/>
          <w:iCs/>
          <w:smallCaps/>
        </w:rPr>
        <w:t>Vying for the Lead in the “Boys’ Club”: Understanding the Gender Gap in Multidistrict Leadership Appointments</w:t>
      </w:r>
      <w:r w:rsidRPr="002D52D3">
        <w:rPr>
          <w:rFonts w:ascii="Century Schoolbook" w:hAnsi="Century Schoolbook" w:cs="Times New Roman"/>
        </w:rPr>
        <w:t xml:space="preserve"> 4</w:t>
      </w:r>
      <w:r w:rsidRPr="003541F9">
        <w:rPr>
          <w:rFonts w:ascii="Century Schoolbook" w:hAnsi="Century Schoolbook" w:cs="Times New Roman"/>
        </w:rPr>
        <w:t xml:space="preserve"> </w:t>
      </w:r>
      <w:r w:rsidRPr="002D52D3">
        <w:rPr>
          <w:rFonts w:ascii="Century Schoolbook" w:hAnsi="Century Schoolbook" w:cs="Times New Roman"/>
        </w:rPr>
        <w:t>(</w:t>
      </w:r>
      <w:r w:rsidRPr="003541F9">
        <w:rPr>
          <w:rFonts w:ascii="Century Schoolbook" w:hAnsi="Century Schoolbook" w:cs="Times New Roman"/>
        </w:rPr>
        <w:t>Temple Univ. Beasley School of La</w:t>
      </w:r>
      <w:r w:rsidRPr="003541F9">
        <w:rPr>
          <w:rFonts w:ascii="Century Schoolbook" w:hAnsi="Century Schoolbook" w:cs="Times New Roman"/>
          <w:smallCaps/>
        </w:rPr>
        <w:t xml:space="preserve">w </w:t>
      </w:r>
      <w:r w:rsidRPr="003541F9">
        <w:rPr>
          <w:rFonts w:ascii="Century Schoolbook" w:hAnsi="Century Schoolbook" w:cs="Times New Roman"/>
        </w:rPr>
        <w:t xml:space="preserve">2017), www2.law.temple.edu/csj/cms/wp-content/uploads/2017/03/Vying-for-Lead-in-the-Boys-Club.pdf; </w:t>
      </w:r>
      <w:proofErr w:type="spellStart"/>
      <w:r w:rsidRPr="003541F9">
        <w:rPr>
          <w:rFonts w:ascii="Century Schoolbook" w:hAnsi="Century Schoolbook" w:cs="Times New Roman"/>
        </w:rPr>
        <w:t>Aebra</w:t>
      </w:r>
      <w:proofErr w:type="spellEnd"/>
      <w:r w:rsidRPr="003541F9">
        <w:rPr>
          <w:rFonts w:ascii="Century Schoolbook" w:hAnsi="Century Schoolbook" w:cs="Times New Roman"/>
        </w:rPr>
        <w:t xml:space="preserve"> Coe, </w:t>
      </w:r>
      <w:r w:rsidRPr="003541F9">
        <w:rPr>
          <w:rFonts w:ascii="Century Schoolbook" w:hAnsi="Century Schoolbook" w:cs="Times New Roman"/>
          <w:i/>
        </w:rPr>
        <w:t>Female Lawyers Are Still Struggling to Land Lead MDL Roles</w:t>
      </w:r>
      <w:r w:rsidRPr="003541F9">
        <w:rPr>
          <w:rFonts w:ascii="Century Schoolbook" w:hAnsi="Century Schoolbook" w:cs="Times New Roman"/>
        </w:rPr>
        <w:t xml:space="preserve">, </w:t>
      </w:r>
      <w:r w:rsidRPr="003541F9">
        <w:rPr>
          <w:rFonts w:ascii="Century Schoolbook" w:hAnsi="Century Schoolbook" w:cs="Times New Roman"/>
          <w:smallCaps/>
        </w:rPr>
        <w:t>Law360</w:t>
      </w:r>
      <w:r w:rsidRPr="003541F9">
        <w:rPr>
          <w:rFonts w:ascii="Century Schoolbook" w:hAnsi="Century Schoolbook" w:cs="Times New Roman"/>
        </w:rPr>
        <w:t xml:space="preserve"> (Mar. 16, 2017), www.law360.com/articles/899783/female-lawyers-are-still-struggling-to-land-lead-mdl-roles.</w:t>
      </w:r>
    </w:p>
  </w:footnote>
  <w:footnote w:id="51">
    <w:p w:rsidR="00625B3F" w:rsidRPr="003541F9" w:rsidRDefault="00625B3F" w:rsidP="00625B3F">
      <w:pPr>
        <w:pStyle w:val="FootnoteText"/>
        <w:rPr>
          <w:rFonts w:ascii="Century Schoolbook" w:hAnsi="Century Schoolbook" w:cs="Times New Roman"/>
        </w:rPr>
      </w:pPr>
      <w:r w:rsidRPr="003541F9">
        <w:rPr>
          <w:rStyle w:val="FootnoteReference"/>
          <w:rFonts w:ascii="Century Schoolbook" w:hAnsi="Century Schoolbook" w:cs="Times New Roman"/>
        </w:rPr>
        <w:footnoteRef/>
      </w:r>
      <w:r w:rsidRPr="003541F9">
        <w:rPr>
          <w:rFonts w:ascii="Century Schoolbook" w:hAnsi="Century Schoolbook" w:cs="Times New Roman"/>
        </w:rPr>
        <w:t xml:space="preserve"> </w:t>
      </w:r>
      <w:r w:rsidRPr="003541F9">
        <w:rPr>
          <w:rFonts w:ascii="Century Schoolbook" w:hAnsi="Century Schoolbook"/>
        </w:rPr>
        <w:t xml:space="preserve">Burch, </w:t>
      </w:r>
      <w:r w:rsidRPr="003541F9">
        <w:rPr>
          <w:rFonts w:ascii="Century Schoolbook" w:hAnsi="Century Schoolbook"/>
          <w:i/>
        </w:rPr>
        <w:t>Judging Multidistrict Litigation</w:t>
      </w:r>
      <w:r w:rsidRPr="003541F9">
        <w:rPr>
          <w:rFonts w:ascii="Century Schoolbook" w:hAnsi="Century Schoolbook"/>
        </w:rPr>
        <w:t xml:space="preserve">, </w:t>
      </w:r>
      <w:r w:rsidRPr="003541F9">
        <w:rPr>
          <w:rFonts w:ascii="Century Schoolbook" w:hAnsi="Century Schoolbook"/>
          <w:i/>
        </w:rPr>
        <w:t xml:space="preserve">supra </w:t>
      </w:r>
      <w:r w:rsidRPr="003541F9">
        <w:rPr>
          <w:rFonts w:ascii="Century Schoolbook" w:hAnsi="Century Schoolbook"/>
        </w:rPr>
        <w:t xml:space="preserve">note </w:t>
      </w:r>
      <w:r w:rsidRPr="003541F9">
        <w:rPr>
          <w:rFonts w:ascii="Century Schoolbook" w:hAnsi="Century Schoolbook"/>
        </w:rPr>
        <w:fldChar w:fldCharType="begin"/>
      </w:r>
      <w:r w:rsidRPr="003541F9">
        <w:rPr>
          <w:rFonts w:ascii="Century Schoolbook" w:hAnsi="Century Schoolbook"/>
        </w:rPr>
        <w:instrText xml:space="preserve"> NOTEREF _Ref510618808 \h </w:instrText>
      </w:r>
      <w:r w:rsidRPr="002D52D3">
        <w:rPr>
          <w:rFonts w:ascii="Century Schoolbook" w:hAnsi="Century Schoolbook"/>
        </w:rPr>
        <w:instrText xml:space="preserve"> \* MERGEFORMAT </w:instrText>
      </w:r>
      <w:r w:rsidRPr="003541F9">
        <w:rPr>
          <w:rFonts w:ascii="Century Schoolbook" w:hAnsi="Century Schoolbook"/>
        </w:rPr>
      </w:r>
      <w:r w:rsidRPr="003541F9">
        <w:rPr>
          <w:rFonts w:ascii="Century Schoolbook" w:hAnsi="Century Schoolbook"/>
        </w:rPr>
        <w:fldChar w:fldCharType="separate"/>
      </w:r>
      <w:r>
        <w:rPr>
          <w:rFonts w:ascii="Century Schoolbook" w:hAnsi="Century Schoolbook"/>
        </w:rPr>
        <w:t>81</w:t>
      </w:r>
      <w:r w:rsidRPr="003541F9">
        <w:rPr>
          <w:rFonts w:ascii="Century Schoolbook" w:hAnsi="Century Schoolbook"/>
        </w:rPr>
        <w:fldChar w:fldCharType="end"/>
      </w:r>
      <w:r w:rsidRPr="003541F9">
        <w:rPr>
          <w:rFonts w:ascii="Century Schoolbook" w:hAnsi="Century Schoolbook" w:cs="Times New Roman"/>
        </w:rPr>
        <w:t>, at 86, 120 (“Outsiders aren’t smarter—they’re just novel and different.  They add value by offering a fresh perspective, challenging the status quo, and injecting new information into the discussion.”).</w:t>
      </w:r>
    </w:p>
  </w:footnote>
  <w:footnote w:id="52">
    <w:p w:rsidR="00625B3F" w:rsidRPr="003541F9" w:rsidRDefault="00625B3F" w:rsidP="00625B3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S</w:t>
      </w:r>
      <w:r w:rsidRPr="003541F9">
        <w:rPr>
          <w:rFonts w:ascii="Century Schoolbook" w:hAnsi="Century Schoolbook"/>
          <w:i/>
        </w:rPr>
        <w:t>ee, e.g.</w:t>
      </w:r>
      <w:r w:rsidRPr="003541F9">
        <w:rPr>
          <w:rFonts w:ascii="Century Schoolbook" w:hAnsi="Century Schoolbook"/>
        </w:rPr>
        <w:t xml:space="preserve">, </w:t>
      </w:r>
      <w:r w:rsidRPr="003541F9">
        <w:rPr>
          <w:rFonts w:ascii="Century Schoolbook" w:hAnsi="Century Schoolbook"/>
          <w:smallCaps/>
        </w:rPr>
        <w:t>Pound Civ. Just. Inst., The War on the Judiciary, Can Independent Judging Survive?</w:t>
      </w:r>
      <w:r w:rsidRPr="003541F9">
        <w:rPr>
          <w:rFonts w:ascii="Century Schoolbook" w:hAnsi="Century Schoolbook"/>
        </w:rPr>
        <w:t xml:space="preserve"> (2013) (discussing attacks on the judiciary).</w:t>
      </w:r>
    </w:p>
  </w:footnote>
  <w:footnote w:id="53">
    <w:p w:rsidR="00625B3F" w:rsidRPr="003541F9" w:rsidRDefault="00625B3F" w:rsidP="00625B3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i/>
        </w:rPr>
        <w:t>See</w:t>
      </w:r>
      <w:r w:rsidRPr="003541F9">
        <w:rPr>
          <w:rFonts w:ascii="Century Schoolbook" w:hAnsi="Century Schoolbook"/>
        </w:rPr>
        <w:t xml:space="preserve"> Melissa </w:t>
      </w:r>
      <w:proofErr w:type="spellStart"/>
      <w:r w:rsidRPr="003541F9">
        <w:rPr>
          <w:rFonts w:ascii="Century Schoolbook" w:hAnsi="Century Schoolbook"/>
        </w:rPr>
        <w:t>Mortazavi</w:t>
      </w:r>
      <w:proofErr w:type="spellEnd"/>
      <w:r w:rsidRPr="003541F9">
        <w:rPr>
          <w:rFonts w:ascii="Century Schoolbook" w:hAnsi="Century Schoolbook"/>
        </w:rPr>
        <w:t xml:space="preserve">, </w:t>
      </w:r>
      <w:r w:rsidRPr="003541F9">
        <w:rPr>
          <w:rFonts w:ascii="Century Schoolbook" w:hAnsi="Century Schoolbook"/>
          <w:i/>
        </w:rPr>
        <w:t>Blind Spot: The Inadequacy of Neutral Partisanship</w:t>
      </w:r>
      <w:r w:rsidRPr="003541F9">
        <w:rPr>
          <w:rFonts w:ascii="Century Schoolbook" w:hAnsi="Century Schoolbook"/>
        </w:rPr>
        <w:t xml:space="preserve">, </w:t>
      </w:r>
      <w:r w:rsidRPr="003541F9">
        <w:rPr>
          <w:rFonts w:ascii="Century Schoolbook" w:hAnsi="Century Schoolbook"/>
          <w:smallCaps/>
        </w:rPr>
        <w:t>63 UCLA L. Rev. Disc</w:t>
      </w:r>
      <w:r w:rsidRPr="003541F9">
        <w:rPr>
          <w:rFonts w:ascii="Century Schoolbook" w:hAnsi="Century Schoolbook"/>
        </w:rPr>
        <w:t>. 16 (2015); see</w:t>
      </w:r>
      <w:r w:rsidRPr="003541F9">
        <w:rPr>
          <w:rFonts w:ascii="Century Schoolbook" w:hAnsi="Century Schoolbook"/>
          <w:i/>
        </w:rPr>
        <w:t xml:space="preserve"> also </w:t>
      </w:r>
      <w:r w:rsidRPr="003541F9">
        <w:rPr>
          <w:rFonts w:ascii="Century Schoolbook" w:hAnsi="Century Schoolbook"/>
        </w:rPr>
        <w:t>Hon.</w:t>
      </w:r>
      <w:r w:rsidRPr="003541F9">
        <w:rPr>
          <w:rFonts w:ascii="Century Schoolbook" w:hAnsi="Century Schoolbook"/>
          <w:i/>
        </w:rPr>
        <w:t xml:space="preserve"> </w:t>
      </w:r>
      <w:r w:rsidRPr="003541F9">
        <w:rPr>
          <w:rFonts w:ascii="Century Schoolbook" w:hAnsi="Century Schoolbook"/>
        </w:rPr>
        <w:t>Anna Blackburne-</w:t>
      </w:r>
      <w:proofErr w:type="spellStart"/>
      <w:r w:rsidRPr="003541F9">
        <w:rPr>
          <w:rFonts w:ascii="Century Schoolbook" w:hAnsi="Century Schoolbook"/>
        </w:rPr>
        <w:t>Rigsby</w:t>
      </w:r>
      <w:proofErr w:type="spellEnd"/>
      <w:r w:rsidRPr="003541F9">
        <w:rPr>
          <w:rFonts w:ascii="Century Schoolbook" w:hAnsi="Century Schoolbook"/>
        </w:rPr>
        <w:t xml:space="preserve">, </w:t>
      </w:r>
      <w:r w:rsidRPr="003541F9">
        <w:rPr>
          <w:rFonts w:ascii="Century Schoolbook" w:hAnsi="Century Schoolbook"/>
          <w:i/>
        </w:rPr>
        <w:t>Ensuring Access To Justice For All:</w:t>
      </w:r>
      <w:r w:rsidRPr="003541F9">
        <w:rPr>
          <w:rFonts w:ascii="Century Schoolbook" w:hAnsi="Century Schoolbook"/>
        </w:rPr>
        <w:t xml:space="preserve"> </w:t>
      </w:r>
      <w:r w:rsidRPr="003541F9">
        <w:rPr>
          <w:rFonts w:ascii="Century Schoolbook" w:hAnsi="Century Schoolbook"/>
          <w:i/>
        </w:rPr>
        <w:t>Addressing the “Justice Gap” Through Renewed Emphasis on Attorney Professionalism and Ethical Obligations in the Classroom and Beyond</w:t>
      </w:r>
      <w:r w:rsidRPr="003541F9">
        <w:rPr>
          <w:rFonts w:ascii="Century Schoolbook" w:hAnsi="Century Schoolbook"/>
        </w:rPr>
        <w:t xml:space="preserve">, </w:t>
      </w:r>
      <w:r w:rsidRPr="003541F9">
        <w:rPr>
          <w:rFonts w:ascii="Century Schoolbook" w:hAnsi="Century Schoolbook"/>
          <w:smallCaps/>
        </w:rPr>
        <w:t>27 Geo. J. Legal Ethics</w:t>
      </w:r>
      <w:r w:rsidRPr="003541F9">
        <w:rPr>
          <w:rFonts w:ascii="Century Schoolbook" w:hAnsi="Century Schoolbook"/>
        </w:rPr>
        <w:t xml:space="preserve"> 1187 (2014).</w:t>
      </w:r>
    </w:p>
  </w:footnote>
  <w:footnote w:id="54">
    <w:p w:rsidR="00625B3F" w:rsidRPr="003541F9" w:rsidRDefault="00625B3F" w:rsidP="00625B3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i/>
        </w:rPr>
        <w:t>See</w:t>
      </w:r>
      <w:r w:rsidRPr="003541F9">
        <w:rPr>
          <w:rFonts w:ascii="Century Schoolbook" w:hAnsi="Century Schoolbook"/>
        </w:rPr>
        <w:t xml:space="preserve"> Katherine W. Phillips, </w:t>
      </w:r>
      <w:r w:rsidRPr="003541F9">
        <w:rPr>
          <w:rFonts w:ascii="Century Schoolbook" w:hAnsi="Century Schoolbook"/>
          <w:i/>
        </w:rPr>
        <w:t>How Diversity Makes Us Smarter</w:t>
      </w:r>
      <w:r w:rsidRPr="003541F9">
        <w:rPr>
          <w:rFonts w:ascii="Century Schoolbook" w:hAnsi="Century Schoolbook"/>
        </w:rPr>
        <w:t xml:space="preserve">, </w:t>
      </w:r>
      <w:r w:rsidRPr="003541F9">
        <w:rPr>
          <w:rFonts w:ascii="Century Schoolbook" w:hAnsi="Century Schoolbook"/>
          <w:smallCaps/>
        </w:rPr>
        <w:t>Sci. Am.</w:t>
      </w:r>
      <w:r w:rsidRPr="003541F9">
        <w:rPr>
          <w:rFonts w:ascii="Century Schoolbook" w:hAnsi="Century Schoolbook"/>
        </w:rPr>
        <w:t xml:space="preserve"> (Oct. 1, 2014), https://www.scientificamerican.com/article/how-diversity-makes-us-smarter/.</w:t>
      </w:r>
    </w:p>
  </w:footnote>
  <w:footnote w:id="55">
    <w:p w:rsidR="00625B3F" w:rsidRPr="003541F9" w:rsidRDefault="00625B3F" w:rsidP="00625B3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Some researchers go so far as to posit that women are better decision makers. </w:t>
      </w:r>
      <w:r w:rsidRPr="003541F9">
        <w:rPr>
          <w:rFonts w:ascii="Century Schoolbook" w:hAnsi="Century Schoolbook"/>
          <w:i/>
        </w:rPr>
        <w:t xml:space="preserve">See </w:t>
      </w:r>
      <w:r w:rsidRPr="003541F9">
        <w:rPr>
          <w:rFonts w:ascii="Century Schoolbook" w:hAnsi="Century Schoolbook"/>
        </w:rPr>
        <w:t xml:space="preserve">Therese Huston, </w:t>
      </w:r>
      <w:r w:rsidRPr="003541F9">
        <w:rPr>
          <w:rFonts w:ascii="Century Schoolbook" w:hAnsi="Century Schoolbook"/>
          <w:i/>
        </w:rPr>
        <w:t>Are Women Better Decision Makers</w:t>
      </w:r>
      <w:proofErr w:type="gramStart"/>
      <w:r w:rsidRPr="003541F9">
        <w:rPr>
          <w:rFonts w:ascii="Century Schoolbook" w:hAnsi="Century Schoolbook"/>
          <w:i/>
        </w:rPr>
        <w:t>?</w:t>
      </w:r>
      <w:r w:rsidRPr="003541F9">
        <w:rPr>
          <w:rFonts w:ascii="Century Schoolbook" w:hAnsi="Century Schoolbook"/>
        </w:rPr>
        <w:t>,</w:t>
      </w:r>
      <w:proofErr w:type="gramEnd"/>
      <w:r w:rsidRPr="003541F9">
        <w:rPr>
          <w:rFonts w:ascii="Century Schoolbook" w:hAnsi="Century Schoolbook"/>
        </w:rPr>
        <w:t xml:space="preserve"> </w:t>
      </w:r>
      <w:r w:rsidRPr="003541F9">
        <w:rPr>
          <w:rFonts w:ascii="Century Schoolbook" w:hAnsi="Century Schoolbook"/>
          <w:smallCaps/>
        </w:rPr>
        <w:t>N.Y. Times</w:t>
      </w:r>
      <w:r w:rsidRPr="003541F9">
        <w:rPr>
          <w:rFonts w:ascii="Century Schoolbook" w:hAnsi="Century Schoolbook"/>
        </w:rPr>
        <w:t xml:space="preserve"> (Oct. 17, 2014), </w:t>
      </w:r>
      <w:r w:rsidRPr="003541F9">
        <w:t>https://www.nytimes.com/2014/10/19/opinion/sunday/are-women-better-decision-makers.html</w:t>
      </w:r>
      <w:r w:rsidRPr="003541F9">
        <w:rPr>
          <w:rFonts w:ascii="Century Schoolbook" w:hAnsi="Century Schoolbook"/>
        </w:rPr>
        <w:t xml:space="preserve">. Others suggest they make better leaders. </w:t>
      </w:r>
      <w:r w:rsidRPr="003541F9">
        <w:rPr>
          <w:rFonts w:ascii="Century Schoolbook" w:hAnsi="Century Schoolbook"/>
          <w:i/>
        </w:rPr>
        <w:t>See</w:t>
      </w:r>
      <w:r w:rsidRPr="003541F9">
        <w:rPr>
          <w:rFonts w:ascii="Century Schoolbook" w:hAnsi="Century Schoolbook"/>
        </w:rPr>
        <w:t xml:space="preserve"> Jack Zenger &amp; Joseph </w:t>
      </w:r>
      <w:proofErr w:type="spellStart"/>
      <w:r w:rsidRPr="003541F9">
        <w:rPr>
          <w:rFonts w:ascii="Century Schoolbook" w:hAnsi="Century Schoolbook"/>
        </w:rPr>
        <w:t>Folkman</w:t>
      </w:r>
      <w:proofErr w:type="spellEnd"/>
      <w:r w:rsidRPr="003541F9">
        <w:rPr>
          <w:rFonts w:ascii="Century Schoolbook" w:hAnsi="Century Schoolbook"/>
        </w:rPr>
        <w:t xml:space="preserve">, </w:t>
      </w:r>
      <w:r w:rsidRPr="003541F9">
        <w:rPr>
          <w:rFonts w:ascii="Century Schoolbook" w:hAnsi="Century Schoolbook"/>
          <w:i/>
        </w:rPr>
        <w:t>Are Women Better Leaders Than Men</w:t>
      </w:r>
      <w:proofErr w:type="gramStart"/>
      <w:r w:rsidRPr="003541F9">
        <w:rPr>
          <w:rFonts w:ascii="Century Schoolbook" w:hAnsi="Century Schoolbook"/>
          <w:i/>
        </w:rPr>
        <w:t>?</w:t>
      </w:r>
      <w:r w:rsidRPr="003541F9">
        <w:rPr>
          <w:rFonts w:ascii="Century Schoolbook" w:hAnsi="Century Schoolbook"/>
        </w:rPr>
        <w:t>,</w:t>
      </w:r>
      <w:proofErr w:type="gramEnd"/>
      <w:r w:rsidRPr="003541F9">
        <w:rPr>
          <w:rFonts w:ascii="Century Schoolbook" w:hAnsi="Century Schoolbook"/>
        </w:rPr>
        <w:t xml:space="preserve"> </w:t>
      </w:r>
      <w:proofErr w:type="spellStart"/>
      <w:r w:rsidRPr="003541F9">
        <w:rPr>
          <w:rFonts w:ascii="Century Schoolbook" w:hAnsi="Century Schoolbook"/>
          <w:smallCaps/>
        </w:rPr>
        <w:t>Harv</w:t>
      </w:r>
      <w:proofErr w:type="spellEnd"/>
      <w:r w:rsidRPr="003541F9">
        <w:rPr>
          <w:rFonts w:ascii="Century Schoolbook" w:hAnsi="Century Schoolbook"/>
          <w:smallCaps/>
        </w:rPr>
        <w:t>. Bus. Rev.</w:t>
      </w:r>
      <w:r w:rsidRPr="003541F9">
        <w:rPr>
          <w:rFonts w:ascii="Century Schoolbook" w:hAnsi="Century Schoolbook"/>
        </w:rPr>
        <w:t xml:space="preserve"> (Mar. 15, 2012), https://hbr.org/2012/03/a-study-in-leadership-women-do; Rochelle Sharpe, </w:t>
      </w:r>
      <w:r w:rsidRPr="003541F9">
        <w:rPr>
          <w:rFonts w:ascii="Century Schoolbook" w:hAnsi="Century Schoolbook"/>
          <w:i/>
        </w:rPr>
        <w:t>As Leaders, Women Rule: New Studies Find That Female Managers Outshine Their Male Counterparts in Almost Every Measure</w:t>
      </w:r>
      <w:r w:rsidRPr="003541F9">
        <w:rPr>
          <w:rFonts w:ascii="Century Schoolbook" w:hAnsi="Century Schoolbook"/>
        </w:rPr>
        <w:t xml:space="preserve">, </w:t>
      </w:r>
      <w:r w:rsidRPr="003541F9">
        <w:rPr>
          <w:rFonts w:ascii="Century Schoolbook" w:hAnsi="Century Schoolbook"/>
          <w:smallCaps/>
        </w:rPr>
        <w:t>Bloomberg</w:t>
      </w:r>
      <w:r w:rsidRPr="003541F9">
        <w:rPr>
          <w:rFonts w:ascii="Century Schoolbook" w:hAnsi="Century Schoolbook"/>
        </w:rPr>
        <w:t xml:space="preserve"> (Nov. 20, 2000, 12:00 AM), </w:t>
      </w:r>
      <w:r w:rsidRPr="003541F9">
        <w:t>https://www.bloomberg.com/news/articles/2000-11-19/as-leaders-women-rule</w:t>
      </w:r>
      <w:r w:rsidRPr="003541F9">
        <w:rPr>
          <w:rFonts w:ascii="Century Schoolbook" w:hAnsi="Century Schoolbook"/>
        </w:rPr>
        <w:t xml:space="preserve">. An added bonus to appointment more women is that, on average, women work longer hours than men. </w:t>
      </w:r>
      <w:r w:rsidRPr="003541F9">
        <w:rPr>
          <w:rFonts w:ascii="Century Schoolbook" w:hAnsi="Century Schoolbook"/>
          <w:i/>
        </w:rPr>
        <w:t>See</w:t>
      </w:r>
      <w:r w:rsidRPr="003541F9">
        <w:rPr>
          <w:rFonts w:ascii="Century Schoolbook" w:hAnsi="Century Schoolbook"/>
        </w:rPr>
        <w:t xml:space="preserve"> Wilkins, Fong &amp; </w:t>
      </w:r>
      <w:proofErr w:type="spellStart"/>
      <w:r w:rsidRPr="003541F9">
        <w:rPr>
          <w:rFonts w:ascii="Century Schoolbook" w:hAnsi="Century Schoolbook"/>
        </w:rPr>
        <w:t>Dinovitzer</w:t>
      </w:r>
      <w:proofErr w:type="spellEnd"/>
      <w:r w:rsidRPr="003541F9">
        <w:rPr>
          <w:rFonts w:ascii="Century Schoolbook" w:hAnsi="Century Schoolbook"/>
        </w:rPr>
        <w:t xml:space="preserve">, </w:t>
      </w:r>
      <w:r w:rsidRPr="003541F9">
        <w:rPr>
          <w:rFonts w:ascii="Century Schoolbook" w:hAnsi="Century Schoolbook"/>
          <w:i/>
        </w:rPr>
        <w:t>supra</w:t>
      </w:r>
      <w:r w:rsidRPr="003541F9">
        <w:rPr>
          <w:rFonts w:ascii="Century Schoolbook" w:hAnsi="Century Schoolbook"/>
        </w:rPr>
        <w:t xml:space="preserve"> note </w:t>
      </w:r>
      <w:r w:rsidRPr="003541F9">
        <w:rPr>
          <w:rFonts w:ascii="Century Schoolbook" w:hAnsi="Century Schoolbook"/>
        </w:rPr>
        <w:fldChar w:fldCharType="begin"/>
      </w:r>
      <w:r w:rsidRPr="003541F9">
        <w:rPr>
          <w:rFonts w:ascii="Century Schoolbook" w:hAnsi="Century Schoolbook"/>
        </w:rPr>
        <w:instrText xml:space="preserve"> NOTEREF _Ref509314162 \h  \* MERGEFORMAT </w:instrText>
      </w:r>
      <w:r w:rsidRPr="003541F9">
        <w:rPr>
          <w:rFonts w:ascii="Century Schoolbook" w:hAnsi="Century Schoolbook"/>
        </w:rPr>
      </w:r>
      <w:r w:rsidRPr="003541F9">
        <w:rPr>
          <w:rFonts w:ascii="Century Schoolbook" w:hAnsi="Century Schoolbook"/>
        </w:rPr>
        <w:fldChar w:fldCharType="separate"/>
      </w:r>
      <w:r>
        <w:rPr>
          <w:rFonts w:ascii="Century Schoolbook" w:hAnsi="Century Schoolbook"/>
        </w:rPr>
        <w:t>8</w:t>
      </w:r>
      <w:r w:rsidRPr="003541F9">
        <w:rPr>
          <w:rFonts w:ascii="Century Schoolbook" w:hAnsi="Century Schoolbook"/>
        </w:rPr>
        <w:fldChar w:fldCharType="end"/>
      </w:r>
      <w:r w:rsidRPr="003541F9">
        <w:rPr>
          <w:rFonts w:ascii="Century Schoolbook" w:hAnsi="Century Schoolbook"/>
        </w:rPr>
        <w:t>; s</w:t>
      </w:r>
      <w:r w:rsidRPr="003541F9">
        <w:rPr>
          <w:rFonts w:ascii="Century Schoolbook" w:hAnsi="Century Schoolbook"/>
          <w:i/>
        </w:rPr>
        <w:t>ee</w:t>
      </w:r>
      <w:r w:rsidRPr="003541F9">
        <w:rPr>
          <w:rFonts w:ascii="Century Schoolbook" w:hAnsi="Century Schoolbook"/>
        </w:rPr>
        <w:t xml:space="preserve"> </w:t>
      </w:r>
      <w:r w:rsidRPr="003541F9">
        <w:rPr>
          <w:rFonts w:ascii="Century Schoolbook" w:hAnsi="Century Schoolbook"/>
          <w:i/>
        </w:rPr>
        <w:t>also</w:t>
      </w:r>
      <w:r w:rsidRPr="003541F9">
        <w:rPr>
          <w:rFonts w:ascii="Century Schoolbook" w:hAnsi="Century Schoolbook"/>
        </w:rPr>
        <w:t xml:space="preserve"> Scott </w:t>
      </w:r>
      <w:proofErr w:type="spellStart"/>
      <w:r w:rsidRPr="003541F9">
        <w:rPr>
          <w:rFonts w:ascii="Century Schoolbook" w:hAnsi="Century Schoolbook"/>
        </w:rPr>
        <w:t>Westfahl</w:t>
      </w:r>
      <w:proofErr w:type="spellEnd"/>
      <w:r w:rsidRPr="003541F9">
        <w:rPr>
          <w:rFonts w:ascii="Century Schoolbook" w:hAnsi="Century Schoolbook"/>
        </w:rPr>
        <w:t xml:space="preserve">, </w:t>
      </w:r>
      <w:r w:rsidRPr="003541F9">
        <w:rPr>
          <w:rFonts w:ascii="Century Schoolbook" w:hAnsi="Century Schoolbook"/>
          <w:i/>
        </w:rPr>
        <w:t>More Women Means More Success</w:t>
      </w:r>
      <w:r w:rsidRPr="003541F9">
        <w:rPr>
          <w:rFonts w:ascii="Century Schoolbook" w:hAnsi="Century Schoolbook"/>
        </w:rPr>
        <w:t xml:space="preserve">, </w:t>
      </w:r>
      <w:proofErr w:type="spellStart"/>
      <w:r w:rsidRPr="003541F9">
        <w:rPr>
          <w:rFonts w:ascii="Century Schoolbook" w:hAnsi="Century Schoolbook"/>
          <w:smallCaps/>
        </w:rPr>
        <w:t>Harv</w:t>
      </w:r>
      <w:proofErr w:type="spellEnd"/>
      <w:r w:rsidRPr="003541F9">
        <w:rPr>
          <w:rFonts w:ascii="Century Schoolbook" w:hAnsi="Century Schoolbook"/>
          <w:smallCaps/>
        </w:rPr>
        <w:t>. L. Today</w:t>
      </w:r>
      <w:r w:rsidRPr="003541F9">
        <w:rPr>
          <w:rFonts w:ascii="Century Schoolbook" w:hAnsi="Century Schoolbook"/>
        </w:rPr>
        <w:t xml:space="preserve"> (Jun. 17, 2015), https://today.law.harvard.edu/from-the-women-lawyers-journal-more-women-means-more-success/.</w:t>
      </w:r>
    </w:p>
  </w:footnote>
  <w:footnote w:id="56">
    <w:p w:rsidR="00625B3F" w:rsidRPr="003541F9" w:rsidRDefault="00625B3F" w:rsidP="00625B3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i/>
        </w:rPr>
        <w:t>See</w:t>
      </w:r>
      <w:r w:rsidRPr="003541F9">
        <w:rPr>
          <w:rFonts w:ascii="Century Schoolbook" w:hAnsi="Century Schoolbook"/>
        </w:rPr>
        <w:t xml:space="preserve"> Jena McGregor, </w:t>
      </w:r>
      <w:r w:rsidRPr="003541F9">
        <w:rPr>
          <w:rFonts w:ascii="Century Schoolbook" w:hAnsi="Century Schoolbook"/>
          <w:i/>
        </w:rPr>
        <w:t>More Women at the Top, Higher Returns</w:t>
      </w:r>
      <w:r w:rsidRPr="003541F9">
        <w:rPr>
          <w:rFonts w:ascii="Century Schoolbook" w:hAnsi="Century Schoolbook"/>
        </w:rPr>
        <w:t xml:space="preserve">, </w:t>
      </w:r>
      <w:r w:rsidRPr="003541F9">
        <w:rPr>
          <w:rFonts w:ascii="Century Schoolbook" w:hAnsi="Century Schoolbook"/>
          <w:smallCaps/>
        </w:rPr>
        <w:t>Wash. Post</w:t>
      </w:r>
      <w:r w:rsidRPr="003541F9">
        <w:rPr>
          <w:rFonts w:ascii="Century Schoolbook" w:hAnsi="Century Schoolbook"/>
        </w:rPr>
        <w:t xml:space="preserve"> (Sept. 24, 2014), https://www.washingtonpost.com/news/on-leadership/wp/2014/09/24/more-women-at-the-top-higher-returns/?utm_term=.c4fe9d02ff68; </w:t>
      </w:r>
      <w:r w:rsidRPr="003541F9">
        <w:rPr>
          <w:rFonts w:ascii="Century Schoolbook" w:hAnsi="Century Schoolbook"/>
          <w:i/>
        </w:rPr>
        <w:t>see also</w:t>
      </w:r>
      <w:r w:rsidRPr="003541F9">
        <w:rPr>
          <w:rFonts w:ascii="Century Schoolbook" w:hAnsi="Century Schoolbook"/>
        </w:rPr>
        <w:t xml:space="preserve"> Jacqueline Bell, </w:t>
      </w:r>
      <w:r w:rsidRPr="003541F9">
        <w:rPr>
          <w:rFonts w:ascii="Century Schoolbook" w:hAnsi="Century Schoolbook"/>
          <w:i/>
        </w:rPr>
        <w:t>What Happens At Law Firms When Women Take Charge</w:t>
      </w:r>
      <w:r w:rsidRPr="003541F9">
        <w:rPr>
          <w:rFonts w:ascii="Century Schoolbook" w:hAnsi="Century Schoolbook"/>
        </w:rPr>
        <w:t xml:space="preserve">, </w:t>
      </w:r>
      <w:r w:rsidRPr="003541F9">
        <w:rPr>
          <w:rFonts w:ascii="Century Schoolbook" w:hAnsi="Century Schoolbook"/>
          <w:smallCaps/>
        </w:rPr>
        <w:t>Law360</w:t>
      </w:r>
      <w:r w:rsidRPr="003541F9">
        <w:rPr>
          <w:rFonts w:ascii="Century Schoolbook" w:hAnsi="Century Schoolbook"/>
        </w:rPr>
        <w:t xml:space="preserve"> (Apr. 20, 2016, 9:28 PM), https://www.law360.com/articles/786736/what-happens-at-law-firms-when-women-take-charge; Solange </w:t>
      </w:r>
      <w:proofErr w:type="spellStart"/>
      <w:r w:rsidRPr="003541F9">
        <w:rPr>
          <w:rFonts w:ascii="Century Schoolbook" w:hAnsi="Century Schoolbook"/>
        </w:rPr>
        <w:t>Charas</w:t>
      </w:r>
      <w:proofErr w:type="spellEnd"/>
      <w:r w:rsidRPr="003541F9">
        <w:rPr>
          <w:rFonts w:ascii="Century Schoolbook" w:hAnsi="Century Schoolbook"/>
        </w:rPr>
        <w:t xml:space="preserve">, </w:t>
      </w:r>
      <w:r w:rsidRPr="003541F9">
        <w:rPr>
          <w:rFonts w:ascii="Century Schoolbook" w:hAnsi="Century Schoolbook"/>
          <w:i/>
        </w:rPr>
        <w:t>A Mathematical Argument for More Women in Leadership</w:t>
      </w:r>
      <w:r w:rsidRPr="003541F9">
        <w:rPr>
          <w:rFonts w:ascii="Century Schoolbook" w:hAnsi="Century Schoolbook"/>
        </w:rPr>
        <w:t xml:space="preserve">, </w:t>
      </w:r>
      <w:r w:rsidRPr="003541F9">
        <w:rPr>
          <w:rFonts w:ascii="Century Schoolbook" w:hAnsi="Century Schoolbook"/>
          <w:smallCaps/>
        </w:rPr>
        <w:t>Fast Company</w:t>
      </w:r>
      <w:r w:rsidRPr="003541F9">
        <w:rPr>
          <w:rFonts w:ascii="Century Schoolbook" w:hAnsi="Century Schoolbook"/>
        </w:rPr>
        <w:t xml:space="preserve"> (Sept. 30, 2014), https://www.fastcompany.com/3036365/a-mathematical-approach-to-appointing-more-women-to-your-board; Daniel Victor, </w:t>
      </w:r>
      <w:r w:rsidRPr="003541F9">
        <w:rPr>
          <w:rFonts w:ascii="Century Schoolbook" w:hAnsi="Century Schoolbook"/>
          <w:i/>
        </w:rPr>
        <w:t>Women in Company Leadership Tied to Stronger Profits, Study Says</w:t>
      </w:r>
      <w:r w:rsidRPr="003541F9">
        <w:rPr>
          <w:rFonts w:ascii="Century Schoolbook" w:hAnsi="Century Schoolbook"/>
        </w:rPr>
        <w:t xml:space="preserve">, </w:t>
      </w:r>
      <w:r w:rsidRPr="003541F9">
        <w:rPr>
          <w:rFonts w:ascii="Century Schoolbook" w:hAnsi="Century Schoolbook"/>
          <w:smallCaps/>
        </w:rPr>
        <w:t>N.Y. Times</w:t>
      </w:r>
      <w:r w:rsidRPr="003541F9">
        <w:rPr>
          <w:rFonts w:ascii="Century Schoolbook" w:hAnsi="Century Schoolbook"/>
        </w:rPr>
        <w:t xml:space="preserve"> (Feb. 9, 2016), https://www.nytimes.com/2016/02/10/business/women-in-company-leadership-tied-to-stronger-profits.html.</w:t>
      </w:r>
    </w:p>
  </w:footnote>
  <w:footnote w:id="57">
    <w:p w:rsidR="00625B3F" w:rsidRPr="003541F9" w:rsidRDefault="00625B3F" w:rsidP="00625B3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i/>
        </w:rPr>
        <w:t>See</w:t>
      </w:r>
      <w:r w:rsidRPr="003541F9">
        <w:rPr>
          <w:rFonts w:ascii="Century Schoolbook" w:hAnsi="Century Schoolbook"/>
        </w:rPr>
        <w:t xml:space="preserve"> Jerry Kang et al., </w:t>
      </w:r>
      <w:r w:rsidRPr="003541F9">
        <w:rPr>
          <w:rFonts w:ascii="Century Schoolbook" w:hAnsi="Century Schoolbook"/>
          <w:i/>
        </w:rPr>
        <w:t>Implicit Bias in the Courtroom</w:t>
      </w:r>
      <w:r w:rsidRPr="003541F9">
        <w:rPr>
          <w:rFonts w:ascii="Century Schoolbook" w:hAnsi="Century Schoolbook"/>
        </w:rPr>
        <w:t xml:space="preserve">, </w:t>
      </w:r>
      <w:r w:rsidRPr="003541F9">
        <w:rPr>
          <w:rFonts w:ascii="Century Schoolbook" w:hAnsi="Century Schoolbook"/>
          <w:smallCaps/>
        </w:rPr>
        <w:t>59 UCLA L. Rev.</w:t>
      </w:r>
      <w:r w:rsidRPr="003541F9">
        <w:rPr>
          <w:rFonts w:ascii="Century Schoolbook" w:hAnsi="Century Schoolbook"/>
        </w:rPr>
        <w:t xml:space="preserve"> 1124 (2012).</w:t>
      </w:r>
    </w:p>
  </w:footnote>
  <w:footnote w:id="58">
    <w:p w:rsidR="00625B3F" w:rsidRPr="003541F9" w:rsidRDefault="00625B3F" w:rsidP="00625B3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i/>
        </w:rPr>
        <w:t>See</w:t>
      </w:r>
      <w:r w:rsidRPr="003541F9">
        <w:rPr>
          <w:rFonts w:ascii="Century Schoolbook" w:hAnsi="Century Schoolbook"/>
        </w:rPr>
        <w:t xml:space="preserve"> Eric Jaffe, </w:t>
      </w:r>
      <w:r w:rsidRPr="003541F9">
        <w:rPr>
          <w:rFonts w:ascii="Century Schoolbook" w:hAnsi="Century Schoolbook"/>
          <w:i/>
        </w:rPr>
        <w:t xml:space="preserve">The New Subtle Sexism </w:t>
      </w:r>
      <w:proofErr w:type="gramStart"/>
      <w:r w:rsidRPr="003541F9">
        <w:rPr>
          <w:rFonts w:ascii="Century Schoolbook" w:hAnsi="Century Schoolbook"/>
          <w:i/>
        </w:rPr>
        <w:t>Toward</w:t>
      </w:r>
      <w:proofErr w:type="gramEnd"/>
      <w:r w:rsidRPr="003541F9">
        <w:rPr>
          <w:rFonts w:ascii="Century Schoolbook" w:hAnsi="Century Schoolbook"/>
          <w:i/>
        </w:rPr>
        <w:t xml:space="preserve"> Women in the Workplace</w:t>
      </w:r>
      <w:r w:rsidRPr="003541F9">
        <w:rPr>
          <w:rFonts w:ascii="Century Schoolbook" w:hAnsi="Century Schoolbook"/>
        </w:rPr>
        <w:t xml:space="preserve">, </w:t>
      </w:r>
      <w:r w:rsidRPr="003541F9">
        <w:rPr>
          <w:rFonts w:ascii="Century Schoolbook" w:hAnsi="Century Schoolbook"/>
          <w:smallCaps/>
        </w:rPr>
        <w:t>Fast Company</w:t>
      </w:r>
      <w:r w:rsidRPr="003541F9">
        <w:rPr>
          <w:rFonts w:ascii="Century Schoolbook" w:hAnsi="Century Schoolbook"/>
        </w:rPr>
        <w:t xml:space="preserve"> (Feb. 6, 2014) https://www.fastcompany.com/3031101/the-new-subtle-sexism-toward-women-in-the-workplace; </w:t>
      </w:r>
      <w:r w:rsidRPr="003541F9">
        <w:rPr>
          <w:rFonts w:ascii="Century Schoolbook" w:hAnsi="Century Schoolbook"/>
          <w:i/>
        </w:rPr>
        <w:t>see also</w:t>
      </w:r>
      <w:r w:rsidRPr="003541F9">
        <w:rPr>
          <w:rFonts w:ascii="Century Schoolbook" w:hAnsi="Century Schoolbook"/>
        </w:rPr>
        <w:t xml:space="preserve"> Connie Lee, </w:t>
      </w:r>
      <w:r w:rsidRPr="003541F9">
        <w:rPr>
          <w:rFonts w:ascii="Century Schoolbook" w:hAnsi="Century Schoolbook"/>
          <w:i/>
        </w:rPr>
        <w:t>Gender Bias in the Courtroom: Combatting Implicit Bias Against Women Trial Attorneys and Litigators</w:t>
      </w:r>
      <w:r w:rsidRPr="003541F9">
        <w:rPr>
          <w:rFonts w:ascii="Century Schoolbook" w:hAnsi="Century Schoolbook"/>
        </w:rPr>
        <w:t xml:space="preserve">, 22 </w:t>
      </w:r>
      <w:r w:rsidRPr="003541F9">
        <w:rPr>
          <w:rFonts w:ascii="Century Schoolbook" w:hAnsi="Century Schoolbook"/>
          <w:smallCaps/>
        </w:rPr>
        <w:t xml:space="preserve">Cardozo J. of Law &amp; Gender 229 </w:t>
      </w:r>
      <w:r w:rsidRPr="003541F9">
        <w:rPr>
          <w:rFonts w:ascii="Century Schoolbook" w:hAnsi="Century Schoolbook"/>
        </w:rPr>
        <w:t xml:space="preserve">(2016); Kathleen </w:t>
      </w:r>
      <w:proofErr w:type="spellStart"/>
      <w:r w:rsidRPr="003541F9">
        <w:rPr>
          <w:rFonts w:ascii="Century Schoolbook" w:hAnsi="Century Schoolbook"/>
        </w:rPr>
        <w:t>Nalty</w:t>
      </w:r>
      <w:proofErr w:type="spellEnd"/>
      <w:r w:rsidRPr="003541F9">
        <w:rPr>
          <w:rFonts w:ascii="Century Schoolbook" w:hAnsi="Century Schoolbook"/>
        </w:rPr>
        <w:t xml:space="preserve">, </w:t>
      </w:r>
      <w:r w:rsidRPr="003541F9">
        <w:rPr>
          <w:rFonts w:ascii="Century Schoolbook" w:hAnsi="Century Schoolbook"/>
          <w:i/>
        </w:rPr>
        <w:t>Strategies for</w:t>
      </w:r>
      <w:r w:rsidRPr="003541F9">
        <w:rPr>
          <w:rFonts w:ascii="Century Schoolbook" w:hAnsi="Century Schoolbook"/>
        </w:rPr>
        <w:t xml:space="preserve"> </w:t>
      </w:r>
      <w:r w:rsidRPr="003541F9">
        <w:rPr>
          <w:rFonts w:ascii="Century Schoolbook" w:hAnsi="Century Schoolbook"/>
          <w:i/>
        </w:rPr>
        <w:t>Confronting Unconscious Bias</w:t>
      </w:r>
      <w:r w:rsidRPr="003541F9">
        <w:rPr>
          <w:rFonts w:ascii="Century Schoolbook" w:hAnsi="Century Schoolbook"/>
        </w:rPr>
        <w:t xml:space="preserve">, 45 </w:t>
      </w:r>
      <w:r w:rsidRPr="003541F9">
        <w:rPr>
          <w:rFonts w:ascii="Century Schoolbook" w:hAnsi="Century Schoolbook"/>
          <w:smallCaps/>
        </w:rPr>
        <w:t>Colo. Law.</w:t>
      </w:r>
      <w:r w:rsidRPr="003541F9">
        <w:rPr>
          <w:rFonts w:ascii="Century Schoolbook" w:hAnsi="Century Schoolbook"/>
        </w:rPr>
        <w:t xml:space="preserve"> 45 (2016); Susan Sturm, </w:t>
      </w:r>
      <w:r w:rsidRPr="003541F9">
        <w:rPr>
          <w:rFonts w:ascii="Century Schoolbook" w:hAnsi="Century Schoolbook"/>
          <w:i/>
        </w:rPr>
        <w:t>Second Generation Employment Discrimination: A Structural Approach</w:t>
      </w:r>
      <w:r w:rsidRPr="003541F9">
        <w:rPr>
          <w:rFonts w:ascii="Century Schoolbook" w:hAnsi="Century Schoolbook"/>
        </w:rPr>
        <w:t xml:space="preserve">, 101 </w:t>
      </w:r>
      <w:r w:rsidRPr="003541F9">
        <w:rPr>
          <w:rFonts w:ascii="Century Schoolbook" w:hAnsi="Century Schoolbook"/>
          <w:smallCaps/>
        </w:rPr>
        <w:t>Colum. L. Rev.</w:t>
      </w:r>
      <w:r w:rsidRPr="003541F9">
        <w:rPr>
          <w:rFonts w:ascii="Century Schoolbook" w:hAnsi="Century Schoolbook"/>
        </w:rPr>
        <w:t xml:space="preserve"> 458 (2001).</w:t>
      </w:r>
    </w:p>
  </w:footnote>
  <w:footnote w:id="59">
    <w:p w:rsidR="00625B3F" w:rsidRPr="003541F9" w:rsidRDefault="00625B3F" w:rsidP="00625B3F">
      <w:pPr>
        <w:pStyle w:val="FootnoteText"/>
        <w:rPr>
          <w:rFonts w:ascii="Century Schoolbook" w:hAnsi="Century Schoolbook"/>
        </w:rPr>
      </w:pPr>
      <w:r w:rsidRPr="002D52D3">
        <w:rPr>
          <w:rFonts w:ascii="Century Schoolbook" w:hAnsi="Century Schoolbook"/>
        </w:rPr>
        <w:footnoteRef/>
      </w:r>
      <w:r w:rsidRPr="003541F9">
        <w:rPr>
          <w:rFonts w:ascii="Century Schoolbook" w:hAnsi="Century Schoolbook"/>
        </w:rPr>
        <w:t xml:space="preserve"> As of October 2016, the following organizations were considering the resolution: the National Bar Association, the American Board of Trial Advocates, and the American Bar Association, Judicial Division. </w:t>
      </w:r>
      <w:r w:rsidRPr="003541F9">
        <w:rPr>
          <w:rFonts w:ascii="Century Schoolbook" w:hAnsi="Century Schoolbook"/>
          <w:i/>
        </w:rPr>
        <w:t>See</w:t>
      </w:r>
      <w:r w:rsidRPr="003541F9">
        <w:rPr>
          <w:rFonts w:ascii="Century Schoolbook" w:hAnsi="Century Schoolbook"/>
        </w:rPr>
        <w:t xml:space="preserve"> </w:t>
      </w:r>
      <w:r w:rsidRPr="003541F9">
        <w:rPr>
          <w:rFonts w:ascii="Century Schoolbook" w:hAnsi="Century Schoolbook"/>
          <w:i/>
        </w:rPr>
        <w:t>NAWJ Monthly Update October 2016</w:t>
      </w:r>
      <w:r w:rsidRPr="003541F9">
        <w:rPr>
          <w:rFonts w:ascii="Century Schoolbook" w:hAnsi="Century Schoolbook"/>
        </w:rPr>
        <w:t xml:space="preserve">, </w:t>
      </w:r>
      <w:r w:rsidRPr="003541F9">
        <w:rPr>
          <w:rFonts w:ascii="Century Schoolbook" w:hAnsi="Century Schoolbook"/>
          <w:smallCaps/>
        </w:rPr>
        <w:t xml:space="preserve">Nat’l </w:t>
      </w:r>
      <w:proofErr w:type="spellStart"/>
      <w:r w:rsidRPr="003541F9">
        <w:rPr>
          <w:rFonts w:ascii="Century Schoolbook" w:hAnsi="Century Schoolbook"/>
          <w:smallCaps/>
        </w:rPr>
        <w:t>Ass’n</w:t>
      </w:r>
      <w:proofErr w:type="spellEnd"/>
      <w:r w:rsidRPr="003541F9">
        <w:rPr>
          <w:rFonts w:ascii="Century Schoolbook" w:hAnsi="Century Schoolbook"/>
          <w:smallCaps/>
        </w:rPr>
        <w:t xml:space="preserve"> Women Judges</w:t>
      </w:r>
      <w:r w:rsidRPr="003541F9">
        <w:rPr>
          <w:rFonts w:ascii="Century Schoolbook" w:hAnsi="Century Schoolbook"/>
        </w:rPr>
        <w:t xml:space="preserve"> (Oct. 3, 2016), </w:t>
      </w:r>
      <w:r w:rsidRPr="003541F9">
        <w:t>https://www.nawj.org/blog/newsroom/post/nawj-monthly-update-october-2016#resolution.</w:t>
      </w:r>
    </w:p>
  </w:footnote>
  <w:footnote w:id="60">
    <w:p w:rsidR="00625B3F" w:rsidRPr="003541F9" w:rsidRDefault="00625B3F" w:rsidP="00625B3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After the Judicial Panel on Multidistrict Litigation (JPML) has transferred civil actions with common issues of fact to any district for coordinated or consolidated pretrial proceedings, it must remand any such action back to the original district court at or before the conclusion of those pretrial proceedings. 28 U.S.C. § 1407(a) (2012); </w:t>
      </w:r>
      <w:proofErr w:type="spellStart"/>
      <w:r w:rsidRPr="0004692B">
        <w:rPr>
          <w:rFonts w:ascii="Century Schoolbook" w:hAnsi="Century Schoolbook"/>
          <w:i/>
        </w:rPr>
        <w:t>Lexecon</w:t>
      </w:r>
      <w:proofErr w:type="spellEnd"/>
      <w:r w:rsidRPr="0004692B">
        <w:rPr>
          <w:rFonts w:ascii="Century Schoolbook" w:hAnsi="Century Schoolbook"/>
          <w:i/>
        </w:rPr>
        <w:t xml:space="preserve"> Inc. v. Milberg Weiss </w:t>
      </w:r>
      <w:proofErr w:type="spellStart"/>
      <w:r w:rsidRPr="0004692B">
        <w:rPr>
          <w:rFonts w:ascii="Century Schoolbook" w:hAnsi="Century Schoolbook"/>
          <w:i/>
        </w:rPr>
        <w:t>Bershad</w:t>
      </w:r>
      <w:proofErr w:type="spellEnd"/>
      <w:r w:rsidRPr="0004692B">
        <w:rPr>
          <w:rFonts w:ascii="Century Schoolbook" w:hAnsi="Century Schoolbook"/>
          <w:i/>
        </w:rPr>
        <w:t xml:space="preserve"> Hynes &amp; </w:t>
      </w:r>
      <w:proofErr w:type="spellStart"/>
      <w:r w:rsidRPr="0004692B">
        <w:rPr>
          <w:rFonts w:ascii="Century Schoolbook" w:hAnsi="Century Schoolbook"/>
          <w:i/>
        </w:rPr>
        <w:t>Lerach</w:t>
      </w:r>
      <w:proofErr w:type="spellEnd"/>
      <w:r w:rsidRPr="003541F9">
        <w:rPr>
          <w:rFonts w:ascii="Century Schoolbook" w:hAnsi="Century Schoolbook"/>
        </w:rPr>
        <w:t>, 523 U.S. 26 (1998). In practice, however, most class cases settle before trial, and those cases that do not settle are more likely to proceed to trial in the transferee court through stipulation or consolidated complaint or because the original cases have been dismissed.</w:t>
      </w:r>
    </w:p>
  </w:footnote>
  <w:footnote w:id="61">
    <w:p w:rsidR="00625B3F" w:rsidRPr="003541F9" w:rsidRDefault="00625B3F" w:rsidP="00625B3F">
      <w:pPr>
        <w:pStyle w:val="FootnoteText"/>
        <w:rPr>
          <w:rFonts w:ascii="Century Schoolbook" w:hAnsi="Century Schoolbook"/>
          <w:smallCaps/>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smallCaps/>
        </w:rPr>
        <w:t>Manual for Complex Litigation § 22.1 (2004) (</w:t>
      </w:r>
      <w:r w:rsidRPr="003541F9">
        <w:rPr>
          <w:rStyle w:val="IntenseEmphasis"/>
          <w:rFonts w:ascii="Century Schoolbook" w:hAnsi="Century Schoolbook"/>
          <w:color w:val="000000" w:themeColor="text1"/>
        </w:rPr>
        <w:t xml:space="preserve">quoting </w:t>
      </w:r>
      <w:r w:rsidRPr="003541F9">
        <w:rPr>
          <w:rFonts w:ascii="Century Schoolbook" w:hAnsi="Century Schoolbook"/>
          <w:iCs/>
          <w:smallCaps/>
          <w:color w:val="000000" w:themeColor="text1"/>
        </w:rPr>
        <w:t>Advisory Comm. on Civil Rules and Working Group on Mass Torts, Report on Mass Tort Litigation</w:t>
      </w:r>
      <w:r w:rsidRPr="003541F9">
        <w:rPr>
          <w:rFonts w:ascii="Century Schoolbook" w:hAnsi="Century Schoolbook"/>
          <w:iCs/>
          <w:color w:val="000000" w:themeColor="text1"/>
        </w:rPr>
        <w:t xml:space="preserve"> 10 (Feb. 15, 1999)).</w:t>
      </w:r>
    </w:p>
  </w:footnote>
  <w:footnote w:id="62">
    <w:p w:rsidR="00625B3F" w:rsidRPr="003541F9" w:rsidRDefault="00625B3F" w:rsidP="00625B3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i/>
          <w:smallCaps/>
        </w:rPr>
        <w:t>I</w:t>
      </w:r>
      <w:r w:rsidRPr="003541F9">
        <w:rPr>
          <w:rFonts w:ascii="Century Schoolbook" w:hAnsi="Century Schoolbook"/>
          <w:i/>
        </w:rPr>
        <w:t xml:space="preserve">d. </w:t>
      </w:r>
      <w:r w:rsidRPr="003541F9">
        <w:rPr>
          <w:rFonts w:ascii="Century Schoolbook" w:hAnsi="Century Schoolbook"/>
        </w:rPr>
        <w:t>§ 22.64 (footnote omitted).</w:t>
      </w:r>
    </w:p>
  </w:footnote>
  <w:footnote w:id="63">
    <w:p w:rsidR="00625B3F" w:rsidRPr="003541F9" w:rsidRDefault="00625B3F" w:rsidP="00625B3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Style w:val="IntenseEmphasis"/>
          <w:rFonts w:ascii="Century Schoolbook" w:hAnsi="Century Schoolbook"/>
          <w:smallCaps/>
          <w:color w:val="000000" w:themeColor="text1"/>
        </w:rPr>
        <w:t>Fed. R. Civ. P.</w:t>
      </w:r>
      <w:r w:rsidRPr="003541F9">
        <w:rPr>
          <w:rStyle w:val="IntenseEmphasis"/>
          <w:rFonts w:ascii="Century Schoolbook" w:hAnsi="Century Schoolbook"/>
          <w:color w:val="000000" w:themeColor="text1"/>
        </w:rPr>
        <w:t xml:space="preserve"> 23(g</w:t>
      </w:r>
      <w:proofErr w:type="gramStart"/>
      <w:r w:rsidRPr="003541F9">
        <w:rPr>
          <w:rStyle w:val="IntenseEmphasis"/>
          <w:rFonts w:ascii="Century Schoolbook" w:hAnsi="Century Schoolbook"/>
          <w:color w:val="000000" w:themeColor="text1"/>
        </w:rPr>
        <w:t>)(</w:t>
      </w:r>
      <w:proofErr w:type="gramEnd"/>
      <w:r w:rsidRPr="003541F9">
        <w:rPr>
          <w:rStyle w:val="IntenseEmphasis"/>
          <w:rFonts w:ascii="Century Schoolbook" w:hAnsi="Century Schoolbook"/>
          <w:color w:val="000000" w:themeColor="text1"/>
        </w:rPr>
        <w:t xml:space="preserve">1).  </w:t>
      </w:r>
    </w:p>
  </w:footnote>
  <w:footnote w:id="64">
    <w:p w:rsidR="00625B3F" w:rsidRPr="003541F9" w:rsidRDefault="00625B3F" w:rsidP="00625B3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Style w:val="IntenseEmphasis"/>
          <w:rFonts w:ascii="Century Schoolbook" w:hAnsi="Century Schoolbook"/>
          <w:smallCaps/>
          <w:color w:val="000000" w:themeColor="text1"/>
        </w:rPr>
        <w:t>Fed. R. Civ. P</w:t>
      </w:r>
      <w:r w:rsidRPr="003541F9">
        <w:rPr>
          <w:rStyle w:val="IntenseEmphasis"/>
          <w:rFonts w:ascii="Century Schoolbook" w:hAnsi="Century Schoolbook"/>
          <w:color w:val="000000" w:themeColor="text1"/>
        </w:rPr>
        <w:t>. 23(g</w:t>
      </w:r>
      <w:proofErr w:type="gramStart"/>
      <w:r w:rsidRPr="003541F9">
        <w:rPr>
          <w:rStyle w:val="IntenseEmphasis"/>
          <w:rFonts w:ascii="Century Schoolbook" w:hAnsi="Century Schoolbook"/>
          <w:color w:val="000000" w:themeColor="text1"/>
        </w:rPr>
        <w:t>)(</w:t>
      </w:r>
      <w:proofErr w:type="gramEnd"/>
      <w:r w:rsidRPr="003541F9">
        <w:rPr>
          <w:rStyle w:val="IntenseEmphasis"/>
          <w:rFonts w:ascii="Century Schoolbook" w:hAnsi="Century Schoolbook"/>
          <w:color w:val="000000" w:themeColor="text1"/>
        </w:rPr>
        <w:t xml:space="preserve">3).  </w:t>
      </w:r>
    </w:p>
  </w:footnote>
  <w:footnote w:id="65">
    <w:p w:rsidR="00625B3F" w:rsidRPr="003541F9" w:rsidRDefault="00625B3F" w:rsidP="00625B3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iCs/>
          <w:smallCaps/>
          <w:color w:val="000000" w:themeColor="text1"/>
          <w:lang w:val="en"/>
        </w:rPr>
        <w:t>Fed. R. Civ. P</w:t>
      </w:r>
      <w:r w:rsidRPr="003541F9">
        <w:rPr>
          <w:rFonts w:ascii="Century Schoolbook" w:hAnsi="Century Schoolbook"/>
          <w:iCs/>
          <w:color w:val="000000" w:themeColor="text1"/>
          <w:lang w:val="en"/>
        </w:rPr>
        <w:t>. 23(g</w:t>
      </w:r>
      <w:proofErr w:type="gramStart"/>
      <w:r w:rsidRPr="003541F9">
        <w:rPr>
          <w:rFonts w:ascii="Century Schoolbook" w:hAnsi="Century Schoolbook"/>
          <w:iCs/>
          <w:color w:val="000000" w:themeColor="text1"/>
          <w:lang w:val="en"/>
        </w:rPr>
        <w:t>)(</w:t>
      </w:r>
      <w:proofErr w:type="gramEnd"/>
      <w:r w:rsidRPr="003541F9">
        <w:rPr>
          <w:rFonts w:ascii="Century Schoolbook" w:hAnsi="Century Schoolbook"/>
          <w:iCs/>
          <w:color w:val="000000" w:themeColor="text1"/>
          <w:lang w:val="en"/>
        </w:rPr>
        <w:t>1)(B).</w:t>
      </w:r>
    </w:p>
  </w:footnote>
  <w:footnote w:id="66">
    <w:p w:rsidR="00625B3F" w:rsidRPr="003541F9" w:rsidRDefault="00625B3F" w:rsidP="00625B3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iCs/>
          <w:smallCaps/>
          <w:color w:val="000000" w:themeColor="text1"/>
          <w:lang w:val="en"/>
        </w:rPr>
        <w:t>Fed. R. Civ. P</w:t>
      </w:r>
      <w:r w:rsidRPr="003541F9">
        <w:rPr>
          <w:rFonts w:ascii="Century Schoolbook" w:hAnsi="Century Schoolbook"/>
          <w:iCs/>
          <w:color w:val="000000" w:themeColor="text1"/>
          <w:lang w:val="en"/>
        </w:rPr>
        <w:t>. 23(g</w:t>
      </w:r>
      <w:proofErr w:type="gramStart"/>
      <w:r w:rsidRPr="003541F9">
        <w:rPr>
          <w:rFonts w:ascii="Century Schoolbook" w:hAnsi="Century Schoolbook"/>
          <w:iCs/>
          <w:color w:val="000000" w:themeColor="text1"/>
          <w:lang w:val="en"/>
        </w:rPr>
        <w:t>)(</w:t>
      </w:r>
      <w:proofErr w:type="gramEnd"/>
      <w:r w:rsidRPr="003541F9">
        <w:rPr>
          <w:rFonts w:ascii="Century Schoolbook" w:hAnsi="Century Schoolbook"/>
          <w:iCs/>
          <w:color w:val="000000" w:themeColor="text1"/>
          <w:lang w:val="en"/>
        </w:rPr>
        <w:t>4)</w:t>
      </w:r>
      <w:r w:rsidRPr="002D52D3">
        <w:rPr>
          <w:rFonts w:ascii="Century Schoolbook" w:hAnsi="Century Schoolbook"/>
          <w:iCs/>
          <w:color w:val="000000" w:themeColor="text1"/>
          <w:lang w:val="en"/>
        </w:rPr>
        <w:t xml:space="preserve"> (emphasis added)</w:t>
      </w:r>
      <w:r w:rsidRPr="003541F9">
        <w:rPr>
          <w:rFonts w:ascii="Century Schoolbook" w:hAnsi="Century Schoolbook"/>
          <w:iCs/>
          <w:color w:val="000000" w:themeColor="text1"/>
          <w:lang w:val="en"/>
        </w:rPr>
        <w:t>.</w:t>
      </w:r>
    </w:p>
  </w:footnote>
  <w:footnote w:id="67">
    <w:p w:rsidR="00625B3F" w:rsidRPr="003541F9" w:rsidRDefault="00625B3F" w:rsidP="00625B3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iCs/>
          <w:smallCaps/>
          <w:color w:val="000000" w:themeColor="text1"/>
          <w:lang w:val="en"/>
        </w:rPr>
        <w:t>Fed. R. Civ. P.</w:t>
      </w:r>
      <w:r w:rsidRPr="003541F9">
        <w:rPr>
          <w:rFonts w:ascii="Century Schoolbook" w:hAnsi="Century Schoolbook"/>
          <w:iCs/>
          <w:color w:val="000000" w:themeColor="text1"/>
          <w:lang w:val="en"/>
        </w:rPr>
        <w:t xml:space="preserve"> 23(g</w:t>
      </w:r>
      <w:proofErr w:type="gramStart"/>
      <w:r w:rsidRPr="003541F9">
        <w:rPr>
          <w:rFonts w:ascii="Century Schoolbook" w:hAnsi="Century Schoolbook"/>
          <w:iCs/>
          <w:color w:val="000000" w:themeColor="text1"/>
          <w:lang w:val="en"/>
        </w:rPr>
        <w:t>)(</w:t>
      </w:r>
      <w:proofErr w:type="gramEnd"/>
      <w:r w:rsidRPr="003541F9">
        <w:rPr>
          <w:rFonts w:ascii="Century Schoolbook" w:hAnsi="Century Schoolbook"/>
          <w:iCs/>
          <w:color w:val="000000" w:themeColor="text1"/>
          <w:lang w:val="en"/>
        </w:rPr>
        <w:t>2).</w:t>
      </w:r>
    </w:p>
  </w:footnote>
  <w:footnote w:id="68">
    <w:p w:rsidR="00625B3F" w:rsidRPr="003541F9" w:rsidRDefault="00625B3F" w:rsidP="00625B3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smallCaps/>
        </w:rPr>
        <w:t xml:space="preserve">Manual (Fourth), </w:t>
      </w:r>
      <w:r w:rsidRPr="003541F9">
        <w:rPr>
          <w:rFonts w:ascii="Century Schoolbook" w:hAnsi="Century Schoolbook"/>
          <w:i/>
        </w:rPr>
        <w:t xml:space="preserve">supra </w:t>
      </w:r>
      <w:r w:rsidRPr="003541F9">
        <w:rPr>
          <w:rFonts w:ascii="Century Schoolbook" w:hAnsi="Century Schoolbook"/>
        </w:rPr>
        <w:t>note [34], § 10.2.</w:t>
      </w:r>
    </w:p>
  </w:footnote>
  <w:footnote w:id="69">
    <w:p w:rsidR="00625B3F" w:rsidRPr="003541F9" w:rsidRDefault="00625B3F" w:rsidP="00625B3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i/>
        </w:rPr>
        <w:t xml:space="preserve">Id. </w:t>
      </w:r>
      <w:r w:rsidRPr="003541F9">
        <w:rPr>
          <w:rFonts w:ascii="Century Schoolbook" w:hAnsi="Century Schoolbook"/>
        </w:rPr>
        <w:t>§ 10.21.</w:t>
      </w:r>
    </w:p>
  </w:footnote>
  <w:footnote w:id="70">
    <w:p w:rsidR="00625B3F" w:rsidRPr="003541F9" w:rsidRDefault="00625B3F" w:rsidP="00625B3F">
      <w:pPr>
        <w:pStyle w:val="FootnoteText"/>
        <w:rPr>
          <w:rFonts w:ascii="Century Schoolbook" w:hAnsi="Century Schoolbook"/>
          <w:i/>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i/>
        </w:rPr>
        <w:t>Id.</w:t>
      </w:r>
    </w:p>
  </w:footnote>
  <w:footnote w:id="71">
    <w:p w:rsidR="00625B3F" w:rsidRPr="003541F9" w:rsidRDefault="00625B3F" w:rsidP="00625B3F">
      <w:pPr>
        <w:pStyle w:val="FootnoteText"/>
        <w:rPr>
          <w:rFonts w:ascii="Century Schoolbook" w:hAnsi="Century Schoolbook"/>
          <w:i/>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i/>
        </w:rPr>
        <w:t>Id.</w:t>
      </w:r>
    </w:p>
  </w:footnote>
  <w:footnote w:id="72">
    <w:p w:rsidR="00625B3F" w:rsidRPr="003541F9" w:rsidRDefault="00625B3F" w:rsidP="00625B3F">
      <w:pPr>
        <w:pStyle w:val="FootnoteText"/>
        <w:rPr>
          <w:rFonts w:ascii="Century Schoolbook" w:hAnsi="Century Schoolbook"/>
          <w:i/>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i/>
        </w:rPr>
        <w:t>Id.</w:t>
      </w:r>
    </w:p>
  </w:footnote>
  <w:footnote w:id="73">
    <w:p w:rsidR="00625B3F" w:rsidRPr="003541F9" w:rsidRDefault="00625B3F" w:rsidP="00625B3F">
      <w:pPr>
        <w:rPr>
          <w:rFonts w:ascii="Century Schoolbook" w:hAnsi="Century Schoolbook"/>
        </w:rPr>
      </w:pPr>
      <w:r w:rsidRPr="003541F9">
        <w:rPr>
          <w:rStyle w:val="FootnoteReference"/>
          <w:rFonts w:ascii="Century Schoolbook" w:hAnsi="Century Schoolbook"/>
          <w:sz w:val="20"/>
          <w:szCs w:val="20"/>
        </w:rPr>
        <w:footnoteRef/>
      </w:r>
      <w:r w:rsidRPr="003541F9">
        <w:rPr>
          <w:rFonts w:ascii="Century Schoolbook" w:hAnsi="Century Schoolbook"/>
          <w:sz w:val="20"/>
          <w:szCs w:val="20"/>
        </w:rPr>
        <w:t xml:space="preserve"> </w:t>
      </w:r>
      <w:r w:rsidRPr="003541F9">
        <w:rPr>
          <w:rFonts w:ascii="Century Schoolbook" w:hAnsi="Century Schoolbook" w:cs="Times New Roman"/>
          <w:i/>
          <w:sz w:val="20"/>
          <w:szCs w:val="20"/>
        </w:rPr>
        <w:t xml:space="preserve">Id. </w:t>
      </w:r>
      <w:r w:rsidRPr="003541F9">
        <w:rPr>
          <w:rFonts w:ascii="Century Schoolbook" w:hAnsi="Century Schoolbook"/>
          <w:sz w:val="20"/>
          <w:szCs w:val="20"/>
        </w:rPr>
        <w:t xml:space="preserve">§ </w:t>
      </w:r>
      <w:r w:rsidRPr="003541F9">
        <w:rPr>
          <w:rFonts w:ascii="Century Schoolbook" w:hAnsi="Century Schoolbook" w:cs="Times New Roman"/>
          <w:sz w:val="20"/>
          <w:szCs w:val="20"/>
        </w:rPr>
        <w:t>10.224</w:t>
      </w:r>
      <w:r w:rsidRPr="002D52D3">
        <w:rPr>
          <w:rFonts w:ascii="Century Schoolbook" w:hAnsi="Century Schoolbook" w:cs="Times New Roman"/>
          <w:sz w:val="20"/>
          <w:szCs w:val="20"/>
        </w:rPr>
        <w:t xml:space="preserve"> </w:t>
      </w:r>
      <w:r w:rsidRPr="003541F9">
        <w:rPr>
          <w:rFonts w:ascii="Century Schoolbook" w:hAnsi="Century Schoolbook" w:cs="Times New Roman"/>
          <w:sz w:val="20"/>
          <w:szCs w:val="20"/>
        </w:rPr>
        <w:t>(emphasis added).</w:t>
      </w:r>
    </w:p>
  </w:footnote>
  <w:footnote w:id="74">
    <w:p w:rsidR="00625B3F" w:rsidRPr="003541F9" w:rsidRDefault="00625B3F" w:rsidP="00625B3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cs="Times New Roman"/>
          <w:i/>
        </w:rPr>
        <w:t xml:space="preserve">Id. </w:t>
      </w:r>
      <w:r w:rsidRPr="003541F9">
        <w:rPr>
          <w:rFonts w:ascii="Century Schoolbook" w:hAnsi="Century Schoolbook"/>
        </w:rPr>
        <w:t>§ 21.27 at 278</w:t>
      </w:r>
      <w:r w:rsidRPr="003541F9">
        <w:rPr>
          <w:rFonts w:ascii="Century Schoolbook" w:hAnsi="Century Schoolbook" w:cs="Times New Roman"/>
        </w:rPr>
        <w:t xml:space="preserve">.  </w:t>
      </w:r>
    </w:p>
  </w:footnote>
  <w:footnote w:id="75">
    <w:p w:rsidR="00625B3F" w:rsidRPr="003541F9" w:rsidRDefault="00625B3F" w:rsidP="00625B3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cs="Times New Roman"/>
          <w:i/>
        </w:rPr>
        <w:t xml:space="preserve">Id. </w:t>
      </w:r>
    </w:p>
  </w:footnote>
  <w:footnote w:id="76">
    <w:p w:rsidR="00625B3F" w:rsidRPr="003541F9" w:rsidRDefault="00625B3F" w:rsidP="00625B3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cs="Times New Roman"/>
          <w:i/>
        </w:rPr>
        <w:t xml:space="preserve">Id. </w:t>
      </w:r>
    </w:p>
  </w:footnote>
  <w:footnote w:id="77">
    <w:p w:rsidR="00625B3F" w:rsidRPr="003541F9" w:rsidRDefault="00625B3F" w:rsidP="00625B3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smallCaps/>
        </w:rPr>
        <w:t>Duke Law Ctr. for Judicial Studies, Standards and Best Practices for Large and Mass-Tort MDLs</w:t>
      </w:r>
      <w:r w:rsidRPr="003541F9">
        <w:rPr>
          <w:rFonts w:ascii="Century Schoolbook" w:hAnsi="Century Schoolbook"/>
        </w:rPr>
        <w:t xml:space="preserve"> (Dec. 19, 2014), https://judicialstudies.duke.edu/sites/default/files/centers/judicialstudies/standards_and_best_practices_for_large_and_mass-tort_mdls.pdf [hereinafter </w:t>
      </w:r>
      <w:r w:rsidRPr="003541F9">
        <w:rPr>
          <w:rFonts w:ascii="Century Schoolbook" w:hAnsi="Century Schoolbook"/>
          <w:smallCaps/>
        </w:rPr>
        <w:t>MDL Standards and Best Practices]</w:t>
      </w:r>
      <w:r w:rsidRPr="003541F9">
        <w:rPr>
          <w:rFonts w:ascii="Century Schoolbook" w:hAnsi="Century Schoolbook"/>
        </w:rPr>
        <w:t xml:space="preserve">. </w:t>
      </w:r>
    </w:p>
  </w:footnote>
  <w:footnote w:id="78">
    <w:p w:rsidR="00625B3F" w:rsidRPr="003541F9" w:rsidRDefault="00625B3F" w:rsidP="00625B3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i/>
        </w:rPr>
        <w:t>See</w:t>
      </w:r>
      <w:r w:rsidRPr="003541F9">
        <w:rPr>
          <w:rFonts w:ascii="Century Schoolbook" w:hAnsi="Century Schoolbook"/>
        </w:rPr>
        <w:t xml:space="preserve"> </w:t>
      </w:r>
      <w:r w:rsidRPr="002D52D3">
        <w:rPr>
          <w:rFonts w:ascii="Century Schoolbook" w:hAnsi="Century Schoolbook"/>
          <w:i/>
        </w:rPr>
        <w:t>id.</w:t>
      </w:r>
      <w:r w:rsidRPr="003541F9">
        <w:rPr>
          <w:rFonts w:ascii="Century Schoolbook" w:hAnsi="Century Schoolbook"/>
        </w:rPr>
        <w:t xml:space="preserve"> at 34 (“</w:t>
      </w:r>
      <w:r w:rsidRPr="002D52D3">
        <w:rPr>
          <w:rFonts w:ascii="Century Schoolbook" w:hAnsi="Century Schoolbook"/>
        </w:rPr>
        <w:t>MDL Standard 2</w:t>
      </w:r>
      <w:r w:rsidRPr="003541F9">
        <w:rPr>
          <w:rFonts w:ascii="Century Schoolbook" w:hAnsi="Century Schoolbook"/>
        </w:rPr>
        <w:t>: In an MDL action with many parties with separate counsel, the transferee judge should establish a leadership structure for the plaintiffs, and sometimes for the defendants, to promote the effective management of the litigation.”)</w:t>
      </w:r>
      <w:r w:rsidRPr="002D52D3">
        <w:rPr>
          <w:rFonts w:ascii="Century Schoolbook" w:hAnsi="Century Schoolbook"/>
        </w:rPr>
        <w:t xml:space="preserve">; </w:t>
      </w:r>
      <w:r w:rsidRPr="002D52D3">
        <w:rPr>
          <w:rFonts w:ascii="Century Schoolbook" w:hAnsi="Century Schoolbook"/>
          <w:i/>
        </w:rPr>
        <w:t xml:space="preserve">id. </w:t>
      </w:r>
      <w:proofErr w:type="gramStart"/>
      <w:r w:rsidRPr="002D52D3">
        <w:rPr>
          <w:rFonts w:ascii="Century Schoolbook" w:hAnsi="Century Schoolbook"/>
        </w:rPr>
        <w:t>at</w:t>
      </w:r>
      <w:proofErr w:type="gramEnd"/>
      <w:r w:rsidRPr="002D52D3">
        <w:rPr>
          <w:rFonts w:ascii="Century Schoolbook" w:hAnsi="Century Schoolbook"/>
        </w:rPr>
        <w:t xml:space="preserve"> </w:t>
      </w:r>
      <w:r w:rsidRPr="003541F9">
        <w:rPr>
          <w:rFonts w:ascii="Century Schoolbook" w:hAnsi="Century Schoolbook"/>
        </w:rPr>
        <w:t>42 (“MDL S</w:t>
      </w:r>
      <w:r w:rsidRPr="002D52D3">
        <w:rPr>
          <w:rFonts w:ascii="Century Schoolbook" w:hAnsi="Century Schoolbook"/>
        </w:rPr>
        <w:t>tandard</w:t>
      </w:r>
      <w:r w:rsidRPr="003541F9">
        <w:rPr>
          <w:rFonts w:ascii="Century Schoolbook" w:hAnsi="Century Schoolbook"/>
        </w:rPr>
        <w:t xml:space="preserve"> 3: The transferee judge should select lead counsel, liaison counsel, and committee members as soon as practicable after the JPML transfers the litigation.”)</w:t>
      </w:r>
      <w:r w:rsidRPr="002D52D3">
        <w:rPr>
          <w:rFonts w:ascii="Century Schoolbook" w:hAnsi="Century Schoolbook"/>
        </w:rPr>
        <w:t xml:space="preserve">; </w:t>
      </w:r>
      <w:r w:rsidRPr="002D52D3">
        <w:rPr>
          <w:rFonts w:ascii="Century Schoolbook" w:hAnsi="Century Schoolbook"/>
          <w:i/>
        </w:rPr>
        <w:t xml:space="preserve">id. </w:t>
      </w:r>
      <w:proofErr w:type="gramStart"/>
      <w:r w:rsidRPr="002D52D3">
        <w:rPr>
          <w:rFonts w:ascii="Century Schoolbook" w:hAnsi="Century Schoolbook"/>
        </w:rPr>
        <w:t>at</w:t>
      </w:r>
      <w:proofErr w:type="gramEnd"/>
      <w:r w:rsidRPr="003541F9">
        <w:rPr>
          <w:rFonts w:ascii="Century Schoolbook" w:hAnsi="Century Schoolbook"/>
        </w:rPr>
        <w:t xml:space="preserve"> 53 (“MDL </w:t>
      </w:r>
      <w:r w:rsidRPr="002D52D3">
        <w:rPr>
          <w:rFonts w:ascii="Century Schoolbook" w:hAnsi="Century Schoolbook"/>
        </w:rPr>
        <w:t>Standard</w:t>
      </w:r>
      <w:r w:rsidRPr="003541F9">
        <w:rPr>
          <w:rFonts w:ascii="Century Schoolbook" w:hAnsi="Century Schoolbook"/>
        </w:rPr>
        <w:t xml:space="preserve"> 4:  As a general rule, the transferee judge should ensure that the lawyers  appointed to the leadership team are effective managers in addition to being conscientious advocates.”).</w:t>
      </w:r>
    </w:p>
  </w:footnote>
  <w:footnote w:id="79">
    <w:p w:rsidR="00625B3F" w:rsidRPr="003541F9" w:rsidRDefault="00625B3F" w:rsidP="00625B3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cs="Times New Roman"/>
          <w:i/>
        </w:rPr>
        <w:t>Id</w:t>
      </w:r>
      <w:r w:rsidRPr="003541F9">
        <w:rPr>
          <w:rFonts w:ascii="Century Schoolbook" w:hAnsi="Century Schoolbook" w:cs="Times New Roman"/>
        </w:rPr>
        <w:t xml:space="preserve">. at 46.   </w:t>
      </w:r>
    </w:p>
  </w:footnote>
  <w:footnote w:id="80">
    <w:p w:rsidR="00625B3F" w:rsidRPr="003541F9" w:rsidRDefault="00625B3F" w:rsidP="00625B3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cs="Times New Roman"/>
          <w:i/>
        </w:rPr>
        <w:t>Id</w:t>
      </w:r>
      <w:r w:rsidRPr="003541F9">
        <w:rPr>
          <w:rFonts w:ascii="Century Schoolbook" w:hAnsi="Century Schoolbook" w:cs="Times New Roman"/>
        </w:rPr>
        <w:t xml:space="preserve">. at 58.  </w:t>
      </w:r>
    </w:p>
  </w:footnote>
  <w:footnote w:id="81">
    <w:p w:rsidR="00625B3F" w:rsidRPr="003541F9" w:rsidRDefault="00625B3F" w:rsidP="00625B3F">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2D52D3">
        <w:rPr>
          <w:rFonts w:ascii="Century Schoolbook" w:hAnsi="Century Schoolbook"/>
        </w:rPr>
        <w:t xml:space="preserve">The </w:t>
      </w:r>
      <w:r w:rsidRPr="003541F9">
        <w:rPr>
          <w:rFonts w:ascii="Century Schoolbook" w:hAnsi="Century Schoolbook"/>
          <w:i/>
        </w:rPr>
        <w:t>Standards and Best Practices</w:t>
      </w:r>
      <w:r w:rsidRPr="003541F9">
        <w:rPr>
          <w:rFonts w:ascii="Century Schoolbook" w:hAnsi="Century Schoolbook"/>
        </w:rPr>
        <w:t xml:space="preserve"> focus on MDLs (only some of which are class actions) and, in particular, on “large and mass-tort MDLs.”  </w:t>
      </w:r>
      <w:r w:rsidRPr="003541F9">
        <w:rPr>
          <w:rFonts w:ascii="Century Schoolbook" w:hAnsi="Century Schoolbook"/>
          <w:i/>
        </w:rPr>
        <w:t>Id</w:t>
      </w:r>
      <w:r w:rsidRPr="003541F9">
        <w:rPr>
          <w:rFonts w:ascii="Century Schoolbook" w:hAnsi="Century Schoolbook"/>
        </w:rPr>
        <w:t xml:space="preserve">. at iv–v, 34. Some practices appropriate for large mass-tort MDLs, such as, for example, large leadership structures with multiple levels and numerous committees, are often not suitable for certain kinds of class actions.  In </w:t>
      </w:r>
      <w:proofErr w:type="spellStart"/>
      <w:r w:rsidRPr="003541F9">
        <w:rPr>
          <w:rFonts w:ascii="Century Schoolbook" w:hAnsi="Century Schoolbook"/>
          <w:i/>
        </w:rPr>
        <w:t>Vioxx</w:t>
      </w:r>
      <w:proofErr w:type="spellEnd"/>
      <w:r w:rsidRPr="003541F9">
        <w:rPr>
          <w:rFonts w:ascii="Century Schoolbook" w:hAnsi="Century Schoolbook"/>
          <w:i/>
        </w:rPr>
        <w:t xml:space="preserve"> Products Liability Litigation</w:t>
      </w:r>
      <w:r w:rsidRPr="003541F9">
        <w:rPr>
          <w:rFonts w:ascii="Century Schoolbook" w:hAnsi="Century Schoolbook"/>
        </w:rPr>
        <w:t xml:space="preserve">, for example, there were ten plaintiff lawyer committees. Elizabeth Chamblee Burch, </w:t>
      </w:r>
      <w:r w:rsidRPr="003541F9">
        <w:rPr>
          <w:rFonts w:ascii="Century Schoolbook" w:hAnsi="Century Schoolbook"/>
          <w:i/>
        </w:rPr>
        <w:t>Judging Multidistrict Litigation</w:t>
      </w:r>
      <w:r w:rsidRPr="003541F9">
        <w:rPr>
          <w:rFonts w:ascii="Century Schoolbook" w:hAnsi="Century Schoolbook"/>
        </w:rPr>
        <w:t xml:space="preserve">, 90 </w:t>
      </w:r>
      <w:r w:rsidRPr="003541F9">
        <w:rPr>
          <w:rFonts w:ascii="Century Schoolbook" w:hAnsi="Century Schoolbook"/>
          <w:smallCaps/>
        </w:rPr>
        <w:t>N.Y.U. L. Rev.</w:t>
      </w:r>
      <w:r w:rsidRPr="003541F9">
        <w:rPr>
          <w:rFonts w:ascii="Century Schoolbook" w:hAnsi="Century Schoolbook"/>
        </w:rPr>
        <w:t xml:space="preserve"> 71, 87 &amp; n.70 (2015) [hereinafter Burch, </w:t>
      </w:r>
      <w:r w:rsidRPr="003541F9">
        <w:rPr>
          <w:rFonts w:ascii="Century Schoolbook" w:hAnsi="Century Schoolbook"/>
          <w:i/>
        </w:rPr>
        <w:t>Judging Multidistrict Litigation</w:t>
      </w:r>
      <w:r w:rsidRPr="003541F9">
        <w:rPr>
          <w:rFonts w:ascii="Century Schoolbook" w:hAnsi="Century Schoolbook"/>
        </w:rPr>
        <w:t xml:space="preserve">]. In most class actions, by contrast, it may be preferable to appoint one or a small number of lead counsel.  </w:t>
      </w:r>
      <w:r w:rsidRPr="003541F9">
        <w:rPr>
          <w:rFonts w:ascii="Century Schoolbook" w:hAnsi="Century Schoolbook"/>
          <w:i/>
        </w:rPr>
        <w:t xml:space="preserve">See </w:t>
      </w:r>
      <w:r w:rsidRPr="003541F9">
        <w:rPr>
          <w:rFonts w:ascii="Century Schoolbook" w:hAnsi="Century Schoolbook"/>
          <w:smallCaps/>
        </w:rPr>
        <w:t xml:space="preserve">MDL Standards and Best Practices, </w:t>
      </w:r>
      <w:r w:rsidRPr="003541F9">
        <w:rPr>
          <w:rFonts w:ascii="Century Schoolbook" w:hAnsi="Century Schoolbook"/>
          <w:i/>
        </w:rPr>
        <w:t xml:space="preserve">supra </w:t>
      </w:r>
      <w:r w:rsidRPr="003541F9">
        <w:rPr>
          <w:rFonts w:ascii="Century Schoolbook" w:hAnsi="Century Schoolbook"/>
        </w:rPr>
        <w:t xml:space="preserve">note </w:t>
      </w:r>
      <w:r w:rsidRPr="003541F9">
        <w:rPr>
          <w:rFonts w:ascii="Century Schoolbook" w:hAnsi="Century Schoolbook"/>
        </w:rPr>
        <w:fldChar w:fldCharType="begin"/>
      </w:r>
      <w:r w:rsidRPr="003541F9">
        <w:rPr>
          <w:rFonts w:ascii="Century Schoolbook" w:hAnsi="Century Schoolbook"/>
        </w:rPr>
        <w:instrText xml:space="preserve"> NOTEREF _Ref510792607 \h </w:instrText>
      </w:r>
      <w:r w:rsidRPr="002D52D3">
        <w:rPr>
          <w:rFonts w:ascii="Century Schoolbook" w:hAnsi="Century Schoolbook"/>
        </w:rPr>
        <w:instrText xml:space="preserve"> \* MERGEFORMAT </w:instrText>
      </w:r>
      <w:r w:rsidRPr="003541F9">
        <w:rPr>
          <w:rFonts w:ascii="Century Schoolbook" w:hAnsi="Century Schoolbook"/>
        </w:rPr>
      </w:r>
      <w:r w:rsidRPr="003541F9">
        <w:rPr>
          <w:rFonts w:ascii="Century Schoolbook" w:hAnsi="Century Schoolbook"/>
        </w:rPr>
        <w:fldChar w:fldCharType="separate"/>
      </w:r>
      <w:r>
        <w:rPr>
          <w:rFonts w:ascii="Century Schoolbook" w:hAnsi="Century Schoolbook"/>
        </w:rPr>
        <w:t>77</w:t>
      </w:r>
      <w:r w:rsidRPr="003541F9">
        <w:rPr>
          <w:rFonts w:ascii="Century Schoolbook" w:hAnsi="Century Schoolbook"/>
        </w:rPr>
        <w:fldChar w:fldCharType="end"/>
      </w:r>
      <w:r w:rsidRPr="003541F9">
        <w:rPr>
          <w:rFonts w:ascii="Century Schoolbook" w:hAnsi="Century Schoolbook"/>
        </w:rPr>
        <w:t>,</w:t>
      </w:r>
      <w:r w:rsidRPr="002D52D3" w:rsidDel="00503913">
        <w:rPr>
          <w:rFonts w:ascii="Century Schoolbook" w:hAnsi="Century Schoolbook"/>
          <w:i/>
        </w:rPr>
        <w:t xml:space="preserve"> </w:t>
      </w:r>
      <w:r w:rsidRPr="003541F9">
        <w:rPr>
          <w:rFonts w:ascii="Century Schoolbook" w:hAnsi="Century Schoolbook"/>
        </w:rPr>
        <w:t xml:space="preserve">at 35 (“Sometimes a fairly simple structure, consisting of a lead counsel and a liaison counsel, is all that is required. Consumer, securities fraud, and employment class actions in which the plaintiffs generally assert the same or similar claims often fall into this category.”). In federal antitrust class actions, for example, courts typically appoint much smaller leadership structures, usually appointing one to three firms as lead or co-lead counsel, and sometimes additionally appoint a plaintiffs’ executive or steering committee.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4A2D"/>
    <w:multiLevelType w:val="hybridMultilevel"/>
    <w:tmpl w:val="EBD03788"/>
    <w:lvl w:ilvl="0" w:tplc="ACE8B71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6F86381"/>
    <w:multiLevelType w:val="hybridMultilevel"/>
    <w:tmpl w:val="698E042E"/>
    <w:lvl w:ilvl="0" w:tplc="04090013">
      <w:start w:val="1"/>
      <w:numFmt w:val="upperRoman"/>
      <w:lvlText w:val="%1."/>
      <w:lvlJc w:val="right"/>
      <w:pPr>
        <w:ind w:left="540" w:hanging="360"/>
      </w:pPr>
    </w:lvl>
    <w:lvl w:ilvl="1" w:tplc="CD4C86AC">
      <w:start w:val="1"/>
      <w:numFmt w:val="lowerLetter"/>
      <w:lvlText w:val="%2."/>
      <w:lvlJc w:val="left"/>
      <w:pPr>
        <w:ind w:left="153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A703A"/>
    <w:multiLevelType w:val="hybridMultilevel"/>
    <w:tmpl w:val="71706BF8"/>
    <w:lvl w:ilvl="0" w:tplc="EFCE5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0C0AC3"/>
    <w:multiLevelType w:val="hybridMultilevel"/>
    <w:tmpl w:val="B9265F02"/>
    <w:lvl w:ilvl="0" w:tplc="7910C1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6924552"/>
    <w:multiLevelType w:val="hybridMultilevel"/>
    <w:tmpl w:val="E81C0C9A"/>
    <w:lvl w:ilvl="0" w:tplc="6CBAA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E63AC4"/>
    <w:multiLevelType w:val="hybridMultilevel"/>
    <w:tmpl w:val="5F1E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B3F"/>
    <w:rsid w:val="00370724"/>
    <w:rsid w:val="00625B3F"/>
    <w:rsid w:val="009F1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B6B8D-CFA8-489D-8AD3-45EAB6C9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B3F"/>
    <w:pPr>
      <w:spacing w:after="0" w:line="240" w:lineRule="auto"/>
    </w:pPr>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625B3F"/>
    <w:rPr>
      <w:i/>
      <w:iCs/>
      <w:color w:val="5B9BD5" w:themeColor="accent1"/>
    </w:rPr>
  </w:style>
  <w:style w:type="paragraph" w:styleId="ListParagraph">
    <w:name w:val="List Paragraph"/>
    <w:basedOn w:val="Normal"/>
    <w:uiPriority w:val="34"/>
    <w:qFormat/>
    <w:rsid w:val="00625B3F"/>
    <w:pPr>
      <w:ind w:left="720"/>
      <w:contextualSpacing/>
    </w:pPr>
  </w:style>
  <w:style w:type="paragraph" w:styleId="FootnoteText">
    <w:name w:val="footnote text"/>
    <w:basedOn w:val="Normal"/>
    <w:link w:val="FootnoteTextChar"/>
    <w:uiPriority w:val="99"/>
    <w:unhideWhenUsed/>
    <w:qFormat/>
    <w:rsid w:val="00625B3F"/>
    <w:rPr>
      <w:sz w:val="20"/>
      <w:szCs w:val="20"/>
    </w:rPr>
  </w:style>
  <w:style w:type="character" w:customStyle="1" w:styleId="FootnoteTextChar">
    <w:name w:val="Footnote Text Char"/>
    <w:basedOn w:val="DefaultParagraphFont"/>
    <w:link w:val="FootnoteText"/>
    <w:uiPriority w:val="99"/>
    <w:rsid w:val="00625B3F"/>
    <w:rPr>
      <w:rFonts w:ascii="Times" w:hAnsi="Times"/>
      <w:sz w:val="20"/>
      <w:szCs w:val="20"/>
    </w:rPr>
  </w:style>
  <w:style w:type="character" w:styleId="FootnoteReference">
    <w:name w:val="footnote reference"/>
    <w:basedOn w:val="DefaultParagraphFont"/>
    <w:uiPriority w:val="99"/>
    <w:unhideWhenUsed/>
    <w:qFormat/>
    <w:rsid w:val="00625B3F"/>
    <w:rPr>
      <w:vertAlign w:val="superscript"/>
    </w:rPr>
  </w:style>
  <w:style w:type="character" w:styleId="CommentReference">
    <w:name w:val="annotation reference"/>
    <w:basedOn w:val="DefaultParagraphFont"/>
    <w:uiPriority w:val="99"/>
    <w:semiHidden/>
    <w:unhideWhenUsed/>
    <w:rsid w:val="00625B3F"/>
    <w:rPr>
      <w:sz w:val="16"/>
      <w:szCs w:val="16"/>
    </w:rPr>
  </w:style>
  <w:style w:type="paragraph" w:styleId="CommentText">
    <w:name w:val="annotation text"/>
    <w:basedOn w:val="Normal"/>
    <w:link w:val="CommentTextChar"/>
    <w:uiPriority w:val="99"/>
    <w:semiHidden/>
    <w:unhideWhenUsed/>
    <w:rsid w:val="00625B3F"/>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625B3F"/>
    <w:rPr>
      <w:sz w:val="20"/>
      <w:szCs w:val="20"/>
    </w:rPr>
  </w:style>
  <w:style w:type="paragraph" w:styleId="BodyText">
    <w:name w:val="Body Text"/>
    <w:basedOn w:val="Normal"/>
    <w:link w:val="BodyTextChar"/>
    <w:qFormat/>
    <w:rsid w:val="00625B3F"/>
    <w:pPr>
      <w:spacing w:before="240"/>
    </w:pPr>
    <w:rPr>
      <w:rFonts w:ascii="Times New Roman" w:hAnsi="Times New Roman"/>
      <w:szCs w:val="22"/>
    </w:rPr>
  </w:style>
  <w:style w:type="character" w:customStyle="1" w:styleId="BodyTextChar">
    <w:name w:val="Body Text Char"/>
    <w:basedOn w:val="DefaultParagraphFont"/>
    <w:link w:val="BodyText"/>
    <w:rsid w:val="00625B3F"/>
    <w:rPr>
      <w:rFonts w:ascii="Times New Roman" w:hAnsi="Times New Roman"/>
      <w:sz w:val="24"/>
    </w:rPr>
  </w:style>
  <w:style w:type="paragraph" w:styleId="BalloonText">
    <w:name w:val="Balloon Text"/>
    <w:basedOn w:val="Normal"/>
    <w:link w:val="BalloonTextChar"/>
    <w:uiPriority w:val="99"/>
    <w:semiHidden/>
    <w:unhideWhenUsed/>
    <w:rsid w:val="00625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B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5203</Words>
  <Characters>29662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34796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Rabiej, J.D.</dc:creator>
  <cp:keywords/>
  <dc:description/>
  <cp:lastModifiedBy>Lora Beth Farmer</cp:lastModifiedBy>
  <cp:revision>2</cp:revision>
  <dcterms:created xsi:type="dcterms:W3CDTF">2018-05-15T23:17:00Z</dcterms:created>
  <dcterms:modified xsi:type="dcterms:W3CDTF">2018-05-15T23:17:00Z</dcterms:modified>
</cp:coreProperties>
</file>