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7" w:rsidRDefault="00254007" w:rsidP="00254007">
      <w:pPr>
        <w:spacing w:line="360" w:lineRule="auto"/>
        <w:jc w:val="center"/>
        <w:rPr>
          <w:rFonts w:ascii="Century Schoolbook" w:hAnsi="Century Schoolbook"/>
          <w:b/>
          <w:smallCaps/>
          <w:sz w:val="26"/>
          <w:szCs w:val="26"/>
        </w:rPr>
      </w:pPr>
      <w:bookmarkStart w:id="0" w:name="_GoBack"/>
      <w:bookmarkEnd w:id="0"/>
      <w:r w:rsidRPr="004D1D54">
        <w:rPr>
          <w:rFonts w:ascii="Century Schoolbook" w:hAnsi="Century Schoolbook"/>
          <w:b/>
          <w:smallCaps/>
          <w:sz w:val="26"/>
          <w:szCs w:val="26"/>
        </w:rPr>
        <w:t>DUKE LAW GUIDELINES AND BEST PRACTICES ADDRESSING CHRONIC FAILURE TO DIVERSIFY LEADERSHIP POSITIONS IN THE PRACTICE OF LAW</w:t>
      </w:r>
    </w:p>
    <w:p w:rsidR="00254007" w:rsidRDefault="00254007" w:rsidP="00254007">
      <w:pPr>
        <w:spacing w:line="360" w:lineRule="auto"/>
        <w:jc w:val="center"/>
        <w:rPr>
          <w:rFonts w:ascii="Century Schoolbook" w:hAnsi="Century Schoolbook"/>
          <w:b/>
          <w:smallCaps/>
          <w:sz w:val="26"/>
          <w:szCs w:val="26"/>
        </w:rPr>
      </w:pPr>
      <w:r>
        <w:rPr>
          <w:rFonts w:ascii="Century Schoolbook" w:hAnsi="Century Schoolbook"/>
          <w:b/>
          <w:smallCaps/>
          <w:sz w:val="26"/>
          <w:szCs w:val="26"/>
        </w:rPr>
        <w:t>(FIRST DRAFT PENDING REVISION)</w:t>
      </w:r>
    </w:p>
    <w:p w:rsidR="00254007" w:rsidRDefault="00254007" w:rsidP="00254007">
      <w:pPr>
        <w:spacing w:line="360" w:lineRule="auto"/>
        <w:jc w:val="center"/>
        <w:rPr>
          <w:rFonts w:ascii="Century Schoolbook" w:hAnsi="Century Schoolbook"/>
          <w:b/>
          <w:smallCaps/>
          <w:sz w:val="26"/>
          <w:szCs w:val="26"/>
        </w:rPr>
      </w:pPr>
      <w:r>
        <w:rPr>
          <w:rFonts w:ascii="Century Schoolbook" w:hAnsi="Century Schoolbook"/>
          <w:b/>
          <w:smallCaps/>
          <w:sz w:val="26"/>
          <w:szCs w:val="26"/>
        </w:rPr>
        <w:t>MAY 10, 2018</w:t>
      </w:r>
    </w:p>
    <w:p w:rsidR="00254007" w:rsidRDefault="00254007" w:rsidP="00254007">
      <w:pPr>
        <w:spacing w:line="360" w:lineRule="auto"/>
        <w:jc w:val="center"/>
        <w:rPr>
          <w:rFonts w:ascii="Century Schoolbook" w:hAnsi="Century Schoolbook"/>
          <w:b/>
          <w:smallCaps/>
          <w:sz w:val="26"/>
          <w:szCs w:val="26"/>
        </w:rPr>
      </w:pPr>
    </w:p>
    <w:p w:rsidR="00254007" w:rsidRDefault="00254007" w:rsidP="00254007">
      <w:pPr>
        <w:tabs>
          <w:tab w:val="left" w:pos="720"/>
        </w:tabs>
        <w:spacing w:before="120" w:after="120"/>
        <w:ind w:left="720"/>
        <w:rPr>
          <w:rFonts w:ascii="Century Schoolbook" w:hAnsi="Century Schoolbook"/>
          <w:sz w:val="22"/>
          <w:szCs w:val="22"/>
        </w:rPr>
      </w:pPr>
      <w:r w:rsidRPr="00A750C6">
        <w:rPr>
          <w:rFonts w:ascii="Century Schoolbook" w:hAnsi="Century Schoolbook"/>
          <w:b/>
          <w:smallCaps/>
          <w:sz w:val="22"/>
          <w:szCs w:val="22"/>
        </w:rPr>
        <w:t>Guideline 3:</w:t>
      </w:r>
      <w:r w:rsidRPr="002A78E1">
        <w:rPr>
          <w:rFonts w:ascii="Century Schoolbook" w:hAnsi="Century Schoolbook"/>
          <w:b/>
          <w:sz w:val="22"/>
          <w:szCs w:val="22"/>
        </w:rPr>
        <w:t xml:space="preserve"> </w:t>
      </w:r>
      <w:r w:rsidRPr="00A750C6">
        <w:rPr>
          <w:rFonts w:ascii="Century Schoolbook" w:hAnsi="Century Schoolbook"/>
          <w:sz w:val="22"/>
          <w:szCs w:val="22"/>
        </w:rPr>
        <w:t>Corporate legal departments should promote diversity in attorney leadership when hiring outside counsel.</w:t>
      </w:r>
      <w:r w:rsidRPr="008F3E1D">
        <w:rPr>
          <w:rFonts w:ascii="Century Schoolbook" w:hAnsi="Century Schoolbook"/>
          <w:sz w:val="22"/>
          <w:szCs w:val="22"/>
        </w:rPr>
        <w:t xml:space="preserve">  </w:t>
      </w:r>
    </w:p>
    <w:p w:rsidR="00254007" w:rsidRDefault="00254007" w:rsidP="00254007">
      <w:pPr>
        <w:tabs>
          <w:tab w:val="left" w:pos="720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M</w:t>
      </w:r>
      <w:r w:rsidRPr="008F3E1D">
        <w:rPr>
          <w:rFonts w:ascii="Century Schoolbook" w:hAnsi="Century Schoolbook"/>
          <w:sz w:val="22"/>
          <w:szCs w:val="22"/>
        </w:rPr>
        <w:t>any legal departments today are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8F3E1D">
        <w:rPr>
          <w:rFonts w:ascii="Century Schoolbook" w:hAnsi="Century Schoolbook"/>
          <w:sz w:val="22"/>
          <w:szCs w:val="22"/>
        </w:rPr>
        <w:t>n</w:t>
      </w:r>
      <w:r>
        <w:rPr>
          <w:rFonts w:ascii="Century Schoolbook" w:hAnsi="Century Schoolbook"/>
          <w:sz w:val="22"/>
          <w:szCs w:val="22"/>
        </w:rPr>
        <w:t>o</w:t>
      </w:r>
      <w:r w:rsidRPr="008F3E1D">
        <w:rPr>
          <w:rFonts w:ascii="Century Schoolbook" w:hAnsi="Century Schoolbook"/>
          <w:sz w:val="22"/>
          <w:szCs w:val="22"/>
        </w:rPr>
        <w:t xml:space="preserve">t just asking firms to field diverse </w:t>
      </w:r>
      <w:r>
        <w:rPr>
          <w:rFonts w:ascii="Century Schoolbook" w:hAnsi="Century Schoolbook"/>
          <w:sz w:val="22"/>
          <w:szCs w:val="22"/>
        </w:rPr>
        <w:t>teams</w:t>
      </w:r>
      <w:r w:rsidRPr="008F3E1D">
        <w:rPr>
          <w:rFonts w:ascii="Century Schoolbook" w:hAnsi="Century Schoolbook"/>
          <w:sz w:val="22"/>
          <w:szCs w:val="22"/>
        </w:rPr>
        <w:t xml:space="preserve"> of attorneys </w:t>
      </w:r>
      <w:r>
        <w:rPr>
          <w:rFonts w:ascii="Century Schoolbook" w:hAnsi="Century Schoolbook"/>
          <w:sz w:val="22"/>
          <w:szCs w:val="22"/>
        </w:rPr>
        <w:t>––</w:t>
      </w:r>
      <w:r w:rsidRPr="008F3E1D">
        <w:rPr>
          <w:rFonts w:ascii="Century Schoolbook" w:hAnsi="Century Schoolbook"/>
          <w:sz w:val="22"/>
          <w:szCs w:val="22"/>
        </w:rPr>
        <w:t xml:space="preserve"> they are </w:t>
      </w:r>
      <w:r>
        <w:rPr>
          <w:rFonts w:ascii="Century Schoolbook" w:hAnsi="Century Schoolbook"/>
          <w:sz w:val="22"/>
          <w:szCs w:val="22"/>
        </w:rPr>
        <w:t>requiring</w:t>
      </w:r>
      <w:r w:rsidRPr="008F3E1D">
        <w:rPr>
          <w:rFonts w:ascii="Century Schoolbook" w:hAnsi="Century Schoolbook"/>
          <w:sz w:val="22"/>
          <w:szCs w:val="22"/>
        </w:rPr>
        <w:t xml:space="preserve"> those firms to put attorneys in leadership positions and </w:t>
      </w:r>
      <w:r>
        <w:rPr>
          <w:rFonts w:ascii="Century Schoolbook" w:hAnsi="Century Schoolbook"/>
          <w:sz w:val="22"/>
          <w:szCs w:val="22"/>
        </w:rPr>
        <w:t xml:space="preserve">demanding </w:t>
      </w:r>
      <w:r w:rsidRPr="008F3E1D">
        <w:rPr>
          <w:rFonts w:ascii="Century Schoolbook" w:hAnsi="Century Schoolbook"/>
          <w:sz w:val="22"/>
          <w:szCs w:val="22"/>
        </w:rPr>
        <w:t xml:space="preserve">data to back it up. </w:t>
      </w:r>
    </w:p>
    <w:p w:rsidR="00254007" w:rsidRPr="008F3E1D" w:rsidRDefault="00254007" w:rsidP="00254007">
      <w:pPr>
        <w:tabs>
          <w:tab w:val="left" w:pos="720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Pr="008F3E1D">
        <w:rPr>
          <w:rFonts w:ascii="Century Schoolbook" w:hAnsi="Century Schoolbook"/>
          <w:sz w:val="22"/>
          <w:szCs w:val="22"/>
        </w:rPr>
        <w:t>For example, in April 2017, Facebook announced that it would begin requiring outside counsel to field teams with at least 33</w:t>
      </w:r>
      <w:r>
        <w:rPr>
          <w:rFonts w:ascii="Century Schoolbook" w:hAnsi="Century Schoolbook"/>
          <w:sz w:val="22"/>
          <w:szCs w:val="22"/>
        </w:rPr>
        <w:t xml:space="preserve">% </w:t>
      </w:r>
      <w:r w:rsidRPr="008F3E1D">
        <w:rPr>
          <w:rFonts w:ascii="Century Schoolbook" w:hAnsi="Century Schoolbook"/>
          <w:sz w:val="22"/>
          <w:szCs w:val="22"/>
        </w:rPr>
        <w:t>women and ethnic minorities and show they are actively creating “clear and measurable leadership opportunities for women and minorities” in the company’s legal matters.</w:t>
      </w:r>
      <w:r w:rsidRPr="008F3E1D">
        <w:rPr>
          <w:rStyle w:val="FootnoteReference"/>
          <w:rFonts w:ascii="Century Schoolbook" w:hAnsi="Century Schoolbook"/>
          <w:sz w:val="22"/>
          <w:szCs w:val="22"/>
        </w:rPr>
        <w:footnoteReference w:id="1"/>
      </w:r>
      <w:r w:rsidRPr="008F3E1D">
        <w:rPr>
          <w:rFonts w:ascii="Century Schoolbook" w:hAnsi="Century Schoolbook"/>
          <w:sz w:val="22"/>
          <w:szCs w:val="22"/>
        </w:rPr>
        <w:t xml:space="preserve"> In a similar vein, HP pushed for advancement of women and diverse attorneys in leadership roles when it announced, in February 2017, that it would withhold up to 10</w:t>
      </w:r>
      <w:r>
        <w:rPr>
          <w:rFonts w:ascii="Century Schoolbook" w:hAnsi="Century Schoolbook"/>
          <w:sz w:val="22"/>
          <w:szCs w:val="22"/>
        </w:rPr>
        <w:t xml:space="preserve">% </w:t>
      </w:r>
      <w:r w:rsidRPr="008F3E1D">
        <w:rPr>
          <w:rFonts w:ascii="Century Schoolbook" w:hAnsi="Century Schoolbook"/>
          <w:sz w:val="22"/>
          <w:szCs w:val="22"/>
        </w:rPr>
        <w:t>of invoiced amounts from law firms that do not field at least one “diverse relationship partner” or at least one woman and one “racially/ethnically diverse” attorney each performing at least 10 percent of the billable hours on HP matters.</w:t>
      </w:r>
      <w:r w:rsidRPr="008F3E1D">
        <w:rPr>
          <w:rStyle w:val="FootnoteReference"/>
          <w:rFonts w:ascii="Century Schoolbook" w:hAnsi="Century Schoolbook"/>
          <w:sz w:val="22"/>
          <w:szCs w:val="22"/>
        </w:rPr>
        <w:footnoteReference w:id="2"/>
      </w:r>
      <w:r w:rsidRPr="008F3E1D">
        <w:rPr>
          <w:rFonts w:ascii="Century Schoolbook" w:hAnsi="Century Schoolbook"/>
          <w:sz w:val="22"/>
          <w:szCs w:val="22"/>
        </w:rPr>
        <w:t xml:space="preserve">           </w:t>
      </w:r>
    </w:p>
    <w:p w:rsidR="00254007" w:rsidRDefault="00254007" w:rsidP="00254007">
      <w:pPr>
        <w:tabs>
          <w:tab w:val="left" w:pos="720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Pr="008F3E1D">
        <w:rPr>
          <w:rFonts w:ascii="Century Schoolbook" w:hAnsi="Century Schoolbook"/>
          <w:sz w:val="22"/>
          <w:szCs w:val="22"/>
        </w:rPr>
        <w:t>Corporate legal departments have increasingly placed demands on in-house legal teams to track their spending with greater precision, indicating an approach that uses spending data to hold firms accountable for diversity initiatives.</w:t>
      </w:r>
      <w:r w:rsidRPr="008F3E1D">
        <w:rPr>
          <w:rStyle w:val="FootnoteReference"/>
          <w:rFonts w:ascii="Century Schoolbook" w:hAnsi="Century Schoolbook"/>
          <w:sz w:val="22"/>
          <w:szCs w:val="22"/>
        </w:rPr>
        <w:footnoteReference w:id="3"/>
      </w:r>
      <w:r w:rsidRPr="008F3E1D">
        <w:rPr>
          <w:rFonts w:ascii="Century Schoolbook" w:hAnsi="Century Schoolbook"/>
          <w:sz w:val="22"/>
          <w:szCs w:val="22"/>
        </w:rPr>
        <w:t xml:space="preserve"> These efforts may be an effective means of demanding diversity accountability with clear benchmarking, regular feedback, and business incentives that further the development and advancement of women </w:t>
      </w:r>
      <w:r w:rsidRPr="008F3E1D">
        <w:rPr>
          <w:rFonts w:ascii="Century Schoolbook" w:hAnsi="Century Schoolbook"/>
          <w:sz w:val="22"/>
          <w:szCs w:val="22"/>
        </w:rPr>
        <w:lastRenderedPageBreak/>
        <w:t xml:space="preserve">and diverse attorneys on corporate legal teams. Instead of relying solely on law firms for their reporting of diversity statistics, in-house </w:t>
      </w:r>
      <w:r>
        <w:rPr>
          <w:rFonts w:ascii="Century Schoolbook" w:hAnsi="Century Schoolbook"/>
          <w:sz w:val="22"/>
          <w:szCs w:val="22"/>
        </w:rPr>
        <w:t>legal</w:t>
      </w:r>
      <w:r w:rsidRPr="008F3E1D">
        <w:rPr>
          <w:rFonts w:ascii="Century Schoolbook" w:hAnsi="Century Schoolbook"/>
          <w:sz w:val="22"/>
          <w:szCs w:val="22"/>
        </w:rPr>
        <w:t xml:space="preserve"> departments can use spending data to track which attorneys are doing which kind of work. For example, a </w:t>
      </w:r>
      <w:r>
        <w:rPr>
          <w:rFonts w:ascii="Century Schoolbook" w:hAnsi="Century Schoolbook"/>
          <w:sz w:val="22"/>
          <w:szCs w:val="22"/>
        </w:rPr>
        <w:t>g</w:t>
      </w:r>
      <w:r w:rsidRPr="008F3E1D">
        <w:rPr>
          <w:rFonts w:ascii="Century Schoolbook" w:hAnsi="Century Schoolbook"/>
          <w:sz w:val="22"/>
          <w:szCs w:val="22"/>
        </w:rPr>
        <w:t xml:space="preserve">eneral </w:t>
      </w:r>
      <w:r>
        <w:rPr>
          <w:rFonts w:ascii="Century Schoolbook" w:hAnsi="Century Schoolbook"/>
          <w:sz w:val="22"/>
          <w:szCs w:val="22"/>
        </w:rPr>
        <w:t>c</w:t>
      </w:r>
      <w:r w:rsidRPr="008F3E1D">
        <w:rPr>
          <w:rFonts w:ascii="Century Schoolbook" w:hAnsi="Century Schoolbook"/>
          <w:sz w:val="22"/>
          <w:szCs w:val="22"/>
        </w:rPr>
        <w:t xml:space="preserve">ounsel can track if a young woman of color is staffed for </w:t>
      </w:r>
      <w:r>
        <w:rPr>
          <w:rFonts w:ascii="Century Schoolbook" w:hAnsi="Century Schoolbook"/>
          <w:sz w:val="22"/>
          <w:szCs w:val="22"/>
        </w:rPr>
        <w:t>large</w:t>
      </w:r>
      <w:r w:rsidRPr="008F3E1D">
        <w:rPr>
          <w:rFonts w:ascii="Century Schoolbook" w:hAnsi="Century Schoolbook"/>
          <w:sz w:val="22"/>
          <w:szCs w:val="22"/>
        </w:rPr>
        <w:t xml:space="preserve"> amounts of time on document review, or if she is taking on a leadership role and logging significant hours on more high</w:t>
      </w:r>
      <w:r>
        <w:rPr>
          <w:rFonts w:ascii="Century Schoolbook" w:hAnsi="Century Schoolbook"/>
          <w:sz w:val="22"/>
          <w:szCs w:val="22"/>
        </w:rPr>
        <w:t>-</w:t>
      </w:r>
      <w:r w:rsidRPr="008F3E1D">
        <w:rPr>
          <w:rFonts w:ascii="Century Schoolbook" w:hAnsi="Century Schoolbook"/>
          <w:sz w:val="22"/>
          <w:szCs w:val="22"/>
        </w:rPr>
        <w:t xml:space="preserve">level work designed to advance her career and leadership prospects. </w:t>
      </w:r>
    </w:p>
    <w:p w:rsidR="00254007" w:rsidRPr="008F3E1D" w:rsidRDefault="00254007" w:rsidP="00254007">
      <w:pPr>
        <w:spacing w:line="360" w:lineRule="auto"/>
        <w:ind w:firstLine="720"/>
        <w:rPr>
          <w:rFonts w:ascii="Century Schoolbook" w:hAnsi="Century Schoolbook" w:cs="Times New Roman"/>
          <w:sz w:val="22"/>
          <w:szCs w:val="22"/>
        </w:rPr>
      </w:pPr>
      <w:r w:rsidRPr="008F3E1D">
        <w:rPr>
          <w:rFonts w:ascii="Century Schoolbook" w:hAnsi="Century Schoolbook" w:cs="Times New Roman"/>
          <w:sz w:val="22"/>
          <w:szCs w:val="22"/>
        </w:rPr>
        <w:t xml:space="preserve">Clients can also help by insisting on diverse legal teams, retaining female trial lawyers, and demanding evidence from law firms as to the roles women are playing </w:t>
      </w:r>
      <w:r>
        <w:rPr>
          <w:rFonts w:ascii="Century Schoolbook" w:hAnsi="Century Schoolbook" w:cs="Times New Roman"/>
          <w:sz w:val="22"/>
          <w:szCs w:val="22"/>
        </w:rPr>
        <w:t>on</w:t>
      </w:r>
      <w:r w:rsidRPr="008F3E1D">
        <w:rPr>
          <w:rFonts w:ascii="Century Schoolbook" w:hAnsi="Century Schoolbook" w:cs="Times New Roman"/>
          <w:sz w:val="22"/>
          <w:szCs w:val="22"/>
        </w:rPr>
        <w:t xml:space="preserve"> their cases.  And finally, female attorneys can take the initiative to seek out better assignments.</w:t>
      </w:r>
    </w:p>
    <w:p w:rsidR="009F1C57" w:rsidRDefault="00254007" w:rsidP="00254007">
      <w:r w:rsidRPr="008F3E1D">
        <w:rPr>
          <w:rFonts w:ascii="Century Schoolbook" w:hAnsi="Century Schoolbook" w:cs="Times New Roman"/>
          <w:sz w:val="22"/>
          <w:szCs w:val="22"/>
        </w:rPr>
        <w:t xml:space="preserve">“We advise women never to turn down the opportunity to be part of a trial team,” </w:t>
      </w:r>
      <w:r>
        <w:rPr>
          <w:rFonts w:ascii="Century Schoolbook" w:hAnsi="Century Schoolbook" w:cs="Times New Roman"/>
          <w:sz w:val="22"/>
          <w:szCs w:val="22"/>
        </w:rPr>
        <w:t>write</w:t>
      </w:r>
      <w:r w:rsidRPr="008F3E1D">
        <w:rPr>
          <w:rFonts w:ascii="Century Schoolbook" w:hAnsi="Century Schoolbook" w:cs="Times New Roman"/>
          <w:sz w:val="22"/>
          <w:szCs w:val="22"/>
        </w:rPr>
        <w:t xml:space="preserve"> Scharf and Liebenberg.  “There are so many upsides to saying ‘yes</w:t>
      </w:r>
      <w:r>
        <w:rPr>
          <w:rFonts w:ascii="Century Schoolbook" w:hAnsi="Century Schoolbook" w:cs="Times New Roman"/>
          <w:sz w:val="22"/>
          <w:szCs w:val="22"/>
        </w:rPr>
        <w:t>’</w:t>
      </w:r>
      <w:r w:rsidRPr="008F3E1D">
        <w:rPr>
          <w:rFonts w:ascii="Century Schoolbook" w:hAnsi="Century Schoolbook" w:cs="Times New Roman"/>
          <w:sz w:val="22"/>
          <w:szCs w:val="22"/>
        </w:rPr>
        <w:t xml:space="preserve"> and enough downsides to saying ‘no’ that, to our minds, the only right answer is ‘yes.’”</w:t>
      </w:r>
      <w:bookmarkStart w:id="1" w:name="_Ref510618323"/>
      <w:r w:rsidRPr="008F3E1D">
        <w:rPr>
          <w:rStyle w:val="FootnoteReference"/>
          <w:rFonts w:ascii="Century Schoolbook" w:hAnsi="Century Schoolbook" w:cs="Times New Roman"/>
          <w:sz w:val="22"/>
          <w:szCs w:val="22"/>
        </w:rPr>
        <w:footnoteReference w:id="4"/>
      </w:r>
      <w:bookmarkEnd w:id="1"/>
    </w:p>
    <w:sectPr w:rsidR="009F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07" w:rsidRDefault="00254007" w:rsidP="00254007">
      <w:r>
        <w:separator/>
      </w:r>
    </w:p>
  </w:endnote>
  <w:endnote w:type="continuationSeparator" w:id="0">
    <w:p w:rsidR="00254007" w:rsidRDefault="00254007" w:rsidP="0025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07" w:rsidRDefault="00254007" w:rsidP="00254007">
      <w:r>
        <w:separator/>
      </w:r>
    </w:p>
  </w:footnote>
  <w:footnote w:type="continuationSeparator" w:id="0">
    <w:p w:rsidR="00254007" w:rsidRDefault="00254007" w:rsidP="00254007">
      <w:r>
        <w:continuationSeparator/>
      </w:r>
    </w:p>
  </w:footnote>
  <w:footnote w:id="1">
    <w:p w:rsidR="00254007" w:rsidRPr="003541F9" w:rsidRDefault="00254007" w:rsidP="00254007">
      <w:pPr>
        <w:pStyle w:val="FootnoteText"/>
        <w:rPr>
          <w:rFonts w:ascii="Century Schoolbook" w:hAnsi="Century Schoolbook"/>
        </w:rPr>
      </w:pPr>
      <w:r w:rsidRPr="003541F9">
        <w:rPr>
          <w:rStyle w:val="FootnoteReference"/>
          <w:rFonts w:ascii="Century Schoolbook" w:hAnsi="Century Schoolbook"/>
        </w:rPr>
        <w:footnoteRef/>
      </w:r>
      <w:r w:rsidRPr="003541F9">
        <w:rPr>
          <w:rFonts w:ascii="Century Schoolbook" w:hAnsi="Century Schoolbook"/>
        </w:rPr>
        <w:t xml:space="preserve">  Ellen Rosen, </w:t>
      </w:r>
      <w:r w:rsidRPr="003541F9">
        <w:rPr>
          <w:rFonts w:ascii="Century Schoolbook" w:hAnsi="Century Schoolbook"/>
          <w:i/>
        </w:rPr>
        <w:t xml:space="preserve">Facebook Pushes </w:t>
      </w:r>
      <w:proofErr w:type="gramStart"/>
      <w:r w:rsidRPr="003541F9">
        <w:rPr>
          <w:rFonts w:ascii="Century Schoolbook" w:hAnsi="Century Schoolbook"/>
          <w:i/>
        </w:rPr>
        <w:t>Outside</w:t>
      </w:r>
      <w:proofErr w:type="gramEnd"/>
      <w:r w:rsidRPr="003541F9">
        <w:rPr>
          <w:rFonts w:ascii="Century Schoolbook" w:hAnsi="Century Schoolbook"/>
          <w:i/>
        </w:rPr>
        <w:t xml:space="preserve"> Law Firms to Become More Diverse</w:t>
      </w:r>
      <w:r w:rsidRPr="003541F9">
        <w:rPr>
          <w:rFonts w:ascii="Century Schoolbook" w:hAnsi="Century Schoolbook"/>
        </w:rPr>
        <w:t xml:space="preserve">, </w:t>
      </w:r>
      <w:r w:rsidRPr="003541F9">
        <w:rPr>
          <w:rFonts w:ascii="Century Schoolbook" w:hAnsi="Century Schoolbook"/>
          <w:smallCaps/>
        </w:rPr>
        <w:t xml:space="preserve">N.Y. Times </w:t>
      </w:r>
      <w:proofErr w:type="spellStart"/>
      <w:r w:rsidRPr="003541F9">
        <w:rPr>
          <w:rFonts w:ascii="Century Schoolbook" w:hAnsi="Century Schoolbook"/>
          <w:smallCaps/>
        </w:rPr>
        <w:t>Dealbook</w:t>
      </w:r>
      <w:proofErr w:type="spellEnd"/>
      <w:r w:rsidRPr="003541F9">
        <w:rPr>
          <w:rFonts w:ascii="Century Schoolbook" w:hAnsi="Century Schoolbook"/>
        </w:rPr>
        <w:t xml:space="preserve"> (Apr. 2, 2017), https://www.nytimes.com/2017/04/02/business/dealbook/facebook-pushes-outside-law-firms-to-become-more-diverse.html?ref=dealbook@_r=0.</w:t>
      </w:r>
    </w:p>
  </w:footnote>
  <w:footnote w:id="2">
    <w:p w:rsidR="00254007" w:rsidRPr="003541F9" w:rsidRDefault="00254007" w:rsidP="00254007">
      <w:pPr>
        <w:pStyle w:val="FootnoteText"/>
        <w:jc w:val="both"/>
        <w:rPr>
          <w:rFonts w:ascii="Century Schoolbook" w:hAnsi="Century Schoolbook"/>
          <w:smallCaps/>
        </w:rPr>
      </w:pPr>
      <w:r w:rsidRPr="003541F9">
        <w:rPr>
          <w:rStyle w:val="FootnoteReference"/>
          <w:rFonts w:ascii="Century Schoolbook" w:hAnsi="Century Schoolbook"/>
        </w:rPr>
        <w:footnoteRef/>
      </w:r>
      <w:r w:rsidRPr="003541F9">
        <w:rPr>
          <w:rFonts w:ascii="Century Schoolbook" w:hAnsi="Century Schoolbook"/>
        </w:rPr>
        <w:t xml:space="preserve"> Rick Mitchell, </w:t>
      </w:r>
      <w:proofErr w:type="spellStart"/>
      <w:r w:rsidRPr="003541F9">
        <w:rPr>
          <w:rFonts w:ascii="Century Schoolbook" w:hAnsi="Century Schoolbook"/>
          <w:i/>
        </w:rPr>
        <w:t>Wake up</w:t>
      </w:r>
      <w:proofErr w:type="spellEnd"/>
      <w:r w:rsidRPr="003541F9">
        <w:rPr>
          <w:rFonts w:ascii="Century Schoolbook" w:hAnsi="Century Schoolbook"/>
          <w:i/>
        </w:rPr>
        <w:t xml:space="preserve"> Call: HP to Dock Fees on Firms Lagging on </w:t>
      </w:r>
      <w:r w:rsidRPr="003541F9">
        <w:rPr>
          <w:rFonts w:ascii="Century Schoolbook" w:hAnsi="Century Schoolbook"/>
        </w:rPr>
        <w:t xml:space="preserve">Diversity, </w:t>
      </w:r>
      <w:r w:rsidRPr="003541F9">
        <w:rPr>
          <w:rFonts w:ascii="Century Schoolbook" w:hAnsi="Century Schoolbook"/>
          <w:smallCaps/>
        </w:rPr>
        <w:t>Bloomberg Law: Big Law Bus.</w:t>
      </w:r>
      <w:r w:rsidRPr="003541F9">
        <w:rPr>
          <w:rFonts w:ascii="Century Schoolbook" w:hAnsi="Century Schoolbook"/>
        </w:rPr>
        <w:t xml:space="preserve"> (Feb. 17, 2017), https://bol.bna.com/wake-up-call-hp-to-dock-fees-on-firms-lagging-on-diversity.</w:t>
      </w:r>
    </w:p>
  </w:footnote>
  <w:footnote w:id="3">
    <w:p w:rsidR="00254007" w:rsidRPr="003541F9" w:rsidRDefault="00254007" w:rsidP="00254007">
      <w:pPr>
        <w:pStyle w:val="FootnoteText"/>
        <w:jc w:val="both"/>
        <w:rPr>
          <w:rFonts w:ascii="Century Schoolbook" w:hAnsi="Century Schoolbook"/>
        </w:rPr>
      </w:pPr>
      <w:r w:rsidRPr="003541F9">
        <w:rPr>
          <w:rStyle w:val="FootnoteReference"/>
          <w:rFonts w:ascii="Century Schoolbook" w:hAnsi="Century Schoolbook"/>
        </w:rPr>
        <w:footnoteRef/>
      </w:r>
      <w:r w:rsidRPr="003541F9">
        <w:rPr>
          <w:rFonts w:ascii="Century Schoolbook" w:hAnsi="Century Schoolbook"/>
        </w:rPr>
        <w:t xml:space="preserve">  For a list of corporate legal department efforts to use statistics and financial incentives to promote diversity in outside law firm assignments, see </w:t>
      </w:r>
      <w:r w:rsidRPr="003541F9">
        <w:rPr>
          <w:rFonts w:ascii="Century Schoolbook" w:hAnsi="Century Schoolbook"/>
          <w:i/>
        </w:rPr>
        <w:t xml:space="preserve">Legal Department (AKA Clients) Efforts Designed to </w:t>
      </w:r>
      <w:proofErr w:type="gramStart"/>
      <w:r w:rsidRPr="003541F9">
        <w:rPr>
          <w:rFonts w:ascii="Century Schoolbook" w:hAnsi="Century Schoolbook"/>
          <w:i/>
        </w:rPr>
        <w:t>Drive  Outside</w:t>
      </w:r>
      <w:proofErr w:type="gramEnd"/>
      <w:r w:rsidRPr="003541F9">
        <w:rPr>
          <w:rFonts w:ascii="Century Schoolbook" w:hAnsi="Century Schoolbook"/>
          <w:i/>
        </w:rPr>
        <w:t xml:space="preserve"> Counsel Diversity</w:t>
      </w:r>
      <w:r w:rsidRPr="003541F9">
        <w:rPr>
          <w:rFonts w:ascii="Century Schoolbook" w:hAnsi="Century Schoolbook"/>
        </w:rPr>
        <w:t xml:space="preserve">, </w:t>
      </w:r>
      <w:proofErr w:type="spellStart"/>
      <w:r w:rsidRPr="003541F9">
        <w:rPr>
          <w:rFonts w:ascii="Century Schoolbook" w:hAnsi="Century Schoolbook"/>
          <w:smallCaps/>
        </w:rPr>
        <w:t>DiversityLab</w:t>
      </w:r>
      <w:proofErr w:type="spellEnd"/>
      <w:r w:rsidRPr="003541F9">
        <w:rPr>
          <w:rFonts w:ascii="Century Schoolbook" w:hAnsi="Century Schoolbook"/>
          <w:smallCaps/>
        </w:rPr>
        <w:t>,</w:t>
      </w:r>
      <w:r w:rsidRPr="003541F9">
        <w:rPr>
          <w:rFonts w:ascii="Century Schoolbook" w:hAnsi="Century Schoolbook"/>
        </w:rPr>
        <w:t xml:space="preserve"> www.diversitylab.com/knowledge-sharing/clients-push-for-diversity (last updated July 8, 2017).</w:t>
      </w:r>
    </w:p>
  </w:footnote>
  <w:footnote w:id="4">
    <w:p w:rsidR="00254007" w:rsidRPr="003541F9" w:rsidRDefault="00254007" w:rsidP="00254007">
      <w:pPr>
        <w:pStyle w:val="FootnoteText"/>
        <w:rPr>
          <w:rFonts w:ascii="Century Schoolbook" w:hAnsi="Century Schoolbook" w:cs="Times New Roman"/>
        </w:rPr>
      </w:pPr>
      <w:r w:rsidRPr="003541F9">
        <w:rPr>
          <w:rStyle w:val="FootnoteReference"/>
          <w:rFonts w:ascii="Century Schoolbook" w:hAnsi="Century Schoolbook" w:cs="Times New Roman"/>
        </w:rPr>
        <w:footnoteRef/>
      </w:r>
      <w:r w:rsidRPr="003541F9">
        <w:rPr>
          <w:rFonts w:ascii="Century Schoolbook" w:hAnsi="Century Schoolbook" w:cs="Times New Roman"/>
        </w:rPr>
        <w:t xml:space="preserve"> </w:t>
      </w:r>
      <w:r w:rsidRPr="003541F9">
        <w:rPr>
          <w:rFonts w:ascii="Century Schoolbook" w:hAnsi="Century Schoolbook" w:cs="Times New Roman"/>
          <w:smallCaps/>
        </w:rPr>
        <w:t xml:space="preserve">Scharf &amp; Liebenberg, </w:t>
      </w:r>
      <w:r w:rsidRPr="003541F9">
        <w:rPr>
          <w:rFonts w:ascii="Century Schoolbook" w:hAnsi="Century Schoolbook" w:cs="Times New Roman"/>
          <w:i/>
        </w:rPr>
        <w:t xml:space="preserve">supra </w:t>
      </w:r>
      <w:r w:rsidRPr="003541F9">
        <w:rPr>
          <w:rFonts w:ascii="Century Schoolbook" w:hAnsi="Century Schoolbook" w:cs="Times New Roman"/>
        </w:rPr>
        <w:t xml:space="preserve">note </w:t>
      </w:r>
      <w:r w:rsidRPr="003541F9">
        <w:rPr>
          <w:rFonts w:ascii="Century Schoolbook" w:hAnsi="Century Schoolbook" w:cs="Times New Roman"/>
        </w:rPr>
        <w:fldChar w:fldCharType="begin"/>
      </w:r>
      <w:r w:rsidRPr="003541F9">
        <w:rPr>
          <w:rFonts w:ascii="Century Schoolbook" w:hAnsi="Century Schoolbook" w:cs="Times New Roman"/>
        </w:rPr>
        <w:instrText xml:space="preserve"> NOTEREF _Ref509175655 \h </w:instrText>
      </w:r>
      <w:r w:rsidRPr="002D52D3">
        <w:rPr>
          <w:rFonts w:ascii="Century Schoolbook" w:hAnsi="Century Schoolbook" w:cs="Times New Roman"/>
        </w:rPr>
        <w:instrText xml:space="preserve"> \* MERGEFORMAT </w:instrText>
      </w:r>
      <w:r w:rsidRPr="003541F9">
        <w:rPr>
          <w:rFonts w:ascii="Century Schoolbook" w:hAnsi="Century Schoolbook" w:cs="Times New Roman"/>
        </w:rPr>
      </w:r>
      <w:r w:rsidRPr="003541F9">
        <w:rPr>
          <w:rFonts w:ascii="Century Schoolbook" w:hAnsi="Century Schoolbook" w:cs="Times New Roman"/>
        </w:rPr>
        <w:fldChar w:fldCharType="separate"/>
      </w:r>
      <w:proofErr w:type="gramStart"/>
      <w:r>
        <w:rPr>
          <w:rFonts w:ascii="Century Schoolbook" w:hAnsi="Century Schoolbook" w:cs="Times New Roman"/>
        </w:rPr>
        <w:t>1</w:t>
      </w:r>
      <w:proofErr w:type="gramEnd"/>
      <w:r w:rsidRPr="003541F9">
        <w:rPr>
          <w:rFonts w:ascii="Century Schoolbook" w:hAnsi="Century Schoolbook" w:cs="Times New Roman"/>
        </w:rPr>
        <w:fldChar w:fldCharType="end"/>
      </w:r>
      <w:r w:rsidRPr="003541F9">
        <w:rPr>
          <w:rFonts w:ascii="Century Schoolbook" w:hAnsi="Century Schoolbook" w:cs="Times New Roman"/>
        </w:rPr>
        <w:t>, at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7"/>
    <w:rsid w:val="00254007"/>
    <w:rsid w:val="00614D7D"/>
    <w:rsid w:val="009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88E7-6014-439C-AA7F-00BB3010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07"/>
    <w:pPr>
      <w:spacing w:after="0" w:line="240" w:lineRule="auto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2540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007"/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25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Rabiej, J.D.</dc:creator>
  <cp:keywords/>
  <dc:description/>
  <cp:lastModifiedBy>Lora Beth Farmer</cp:lastModifiedBy>
  <cp:revision>2</cp:revision>
  <dcterms:created xsi:type="dcterms:W3CDTF">2018-05-15T23:18:00Z</dcterms:created>
  <dcterms:modified xsi:type="dcterms:W3CDTF">2018-05-15T23:18:00Z</dcterms:modified>
</cp:coreProperties>
</file>