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B2" w:rsidRDefault="004F44B2" w:rsidP="004F44B2">
      <w:pPr>
        <w:spacing w:line="360" w:lineRule="auto"/>
        <w:jc w:val="center"/>
        <w:rPr>
          <w:rFonts w:ascii="Century Schoolbook" w:hAnsi="Century Schoolbook"/>
          <w:b/>
          <w:smallCaps/>
          <w:sz w:val="26"/>
          <w:szCs w:val="26"/>
        </w:rPr>
      </w:pPr>
      <w:r w:rsidRPr="004D1D54">
        <w:rPr>
          <w:rFonts w:ascii="Century Schoolbook" w:hAnsi="Century Schoolbook"/>
          <w:b/>
          <w:smallCaps/>
          <w:sz w:val="26"/>
          <w:szCs w:val="26"/>
        </w:rPr>
        <w:t>DUKE LAW GUIDELINES AND BEST PRACTICES ADDRESSING CHRONIC FAILURE TO DIVERSIFY LEADERSHIP POSITIONS IN THE PRACTICE OF LAW</w:t>
      </w:r>
    </w:p>
    <w:p w:rsidR="004F44B2" w:rsidRDefault="004F44B2" w:rsidP="004F44B2">
      <w:pPr>
        <w:spacing w:line="360" w:lineRule="auto"/>
        <w:jc w:val="center"/>
        <w:rPr>
          <w:rFonts w:ascii="Century Schoolbook" w:hAnsi="Century Schoolbook"/>
          <w:b/>
          <w:smallCaps/>
          <w:sz w:val="26"/>
          <w:szCs w:val="26"/>
        </w:rPr>
      </w:pPr>
      <w:r>
        <w:rPr>
          <w:rFonts w:ascii="Century Schoolbook" w:hAnsi="Century Schoolbook"/>
          <w:b/>
          <w:smallCaps/>
          <w:sz w:val="26"/>
          <w:szCs w:val="26"/>
        </w:rPr>
        <w:t>(FIRST DRAFT PENDING REVISION)</w:t>
      </w:r>
    </w:p>
    <w:p w:rsidR="004F44B2" w:rsidRDefault="004F44B2" w:rsidP="004F44B2">
      <w:pPr>
        <w:spacing w:line="360" w:lineRule="auto"/>
        <w:jc w:val="center"/>
        <w:rPr>
          <w:rFonts w:ascii="Century Schoolbook" w:hAnsi="Century Schoolbook"/>
          <w:b/>
          <w:smallCaps/>
          <w:sz w:val="26"/>
          <w:szCs w:val="26"/>
        </w:rPr>
      </w:pPr>
      <w:r>
        <w:rPr>
          <w:rFonts w:ascii="Century Schoolbook" w:hAnsi="Century Schoolbook"/>
          <w:b/>
          <w:smallCaps/>
          <w:sz w:val="26"/>
          <w:szCs w:val="26"/>
        </w:rPr>
        <w:t>MAY 10, 2018</w:t>
      </w:r>
    </w:p>
    <w:p w:rsidR="004F44B2" w:rsidRDefault="004F44B2" w:rsidP="004F44B2">
      <w:pPr>
        <w:spacing w:line="360" w:lineRule="auto"/>
        <w:jc w:val="center"/>
        <w:rPr>
          <w:rFonts w:ascii="Century Schoolbook" w:hAnsi="Century Schoolbook"/>
          <w:b/>
          <w:smallCaps/>
          <w:sz w:val="26"/>
          <w:szCs w:val="26"/>
        </w:rPr>
      </w:pPr>
    </w:p>
    <w:p w:rsidR="004F44B2" w:rsidRDefault="004F44B2" w:rsidP="004F44B2">
      <w:pPr>
        <w:spacing w:line="360" w:lineRule="auto"/>
        <w:jc w:val="center"/>
        <w:rPr>
          <w:rFonts w:ascii="Century Schoolbook" w:hAnsi="Century Schoolbook"/>
          <w:b/>
          <w:smallCaps/>
          <w:sz w:val="26"/>
          <w:szCs w:val="26"/>
        </w:rPr>
      </w:pPr>
    </w:p>
    <w:p w:rsidR="004F44B2" w:rsidRPr="00166399" w:rsidRDefault="004F44B2" w:rsidP="004F44B2">
      <w:pPr>
        <w:pStyle w:val="ListParagraph"/>
        <w:numPr>
          <w:ilvl w:val="0"/>
          <w:numId w:val="1"/>
        </w:numPr>
        <w:ind w:left="360" w:hanging="360"/>
        <w:rPr>
          <w:rFonts w:ascii="Century Schoolbook" w:hAnsi="Century Schoolbook" w:cs="Times New Roman"/>
          <w:sz w:val="22"/>
          <w:szCs w:val="22"/>
          <w:u w:val="single"/>
        </w:rPr>
      </w:pPr>
      <w:r w:rsidRPr="00166399">
        <w:rPr>
          <w:rFonts w:ascii="Century Schoolbook" w:hAnsi="Century Schoolbook" w:cs="Times New Roman"/>
          <w:b/>
          <w:sz w:val="22"/>
          <w:szCs w:val="22"/>
        </w:rPr>
        <w:t>What the Judicial Conference, Judicial Panel on Multidistrict Litigation, and Federal Judicial Center Can Do to Promote Women and Diverse Lawyers</w:t>
      </w:r>
    </w:p>
    <w:p w:rsidR="004F44B2" w:rsidRPr="00554EF1" w:rsidRDefault="004F44B2" w:rsidP="004F44B2">
      <w:pPr>
        <w:spacing w:before="120" w:after="120"/>
        <w:ind w:left="720"/>
        <w:rPr>
          <w:rFonts w:ascii="Century Schoolbook" w:hAnsi="Century Schoolbook" w:cs="Times New Roman"/>
          <w:sz w:val="22"/>
          <w:szCs w:val="22"/>
          <w:u w:val="single"/>
        </w:rPr>
      </w:pPr>
      <w:r w:rsidRPr="00554EF1">
        <w:rPr>
          <w:rFonts w:ascii="Century Schoolbook" w:hAnsi="Century Schoolbook" w:cs="Times New Roman"/>
          <w:b/>
          <w:smallCaps/>
          <w:sz w:val="22"/>
          <w:szCs w:val="22"/>
        </w:rPr>
        <w:t>Guideline 9:</w:t>
      </w:r>
      <w:r w:rsidRPr="00554EF1">
        <w:rPr>
          <w:rFonts w:ascii="Century Schoolbook" w:hAnsi="Century Schoolbook" w:cs="Times New Roman"/>
          <w:b/>
          <w:sz w:val="22"/>
          <w:szCs w:val="22"/>
        </w:rPr>
        <w:t xml:space="preserve"> </w:t>
      </w:r>
      <w:r w:rsidRPr="00554EF1">
        <w:rPr>
          <w:rFonts w:ascii="Century Schoolbook" w:hAnsi="Century Schoolbook" w:cs="Times New Roman"/>
          <w:sz w:val="22"/>
          <w:szCs w:val="22"/>
        </w:rPr>
        <w:t xml:space="preserve">Institutional Authorities </w:t>
      </w:r>
      <w:r>
        <w:rPr>
          <w:rFonts w:ascii="Century Schoolbook" w:hAnsi="Century Schoolbook" w:cs="Times New Roman"/>
          <w:sz w:val="22"/>
          <w:szCs w:val="22"/>
        </w:rPr>
        <w:t>H</w:t>
      </w:r>
      <w:r w:rsidRPr="00554EF1">
        <w:rPr>
          <w:rFonts w:ascii="Century Schoolbook" w:hAnsi="Century Schoolbook" w:cs="Times New Roman"/>
          <w:sz w:val="22"/>
          <w:szCs w:val="22"/>
        </w:rPr>
        <w:t>ave a Responsibility to Promote Diversity in Judicial Appointments.</w:t>
      </w:r>
      <w:bookmarkStart w:id="0" w:name="_GoBack"/>
      <w:bookmarkEnd w:id="0"/>
    </w:p>
    <w:p w:rsidR="004F44B2" w:rsidRPr="00C271A7" w:rsidRDefault="004F44B2" w:rsidP="004F44B2">
      <w:pPr>
        <w:spacing w:line="360" w:lineRule="auto"/>
        <w:contextualSpacing/>
        <w:rPr>
          <w:rFonts w:ascii="Century Schoolbook" w:hAnsi="Century Schoolbook" w:cs="Times New Roman"/>
          <w:sz w:val="22"/>
          <w:szCs w:val="22"/>
          <w:u w:val="single"/>
        </w:rPr>
      </w:pPr>
      <w:r w:rsidRPr="00C271A7">
        <w:rPr>
          <w:rFonts w:ascii="Century Schoolbook" w:hAnsi="Century Schoolbook" w:cs="Times New Roman"/>
          <w:sz w:val="22"/>
          <w:szCs w:val="22"/>
          <w:u w:val="single"/>
        </w:rPr>
        <w:t>Judicial Panel on Multidistrict Litigation</w:t>
      </w:r>
      <w:r w:rsidRPr="00790BA4">
        <w:rPr>
          <w:rStyle w:val="FootnoteReference"/>
          <w:rFonts w:ascii="Century Schoolbook" w:hAnsi="Century Schoolbook" w:cs="Times New Roman"/>
          <w:b/>
          <w:sz w:val="22"/>
          <w:szCs w:val="22"/>
        </w:rPr>
        <w:footnoteReference w:id="1"/>
      </w:r>
      <w:r w:rsidRPr="00790BA4">
        <w:rPr>
          <w:rFonts w:ascii="Century Schoolbook" w:hAnsi="Century Schoolbook" w:cs="Times New Roman"/>
          <w:sz w:val="22"/>
          <w:szCs w:val="22"/>
        </w:rPr>
        <w:t>:</w:t>
      </w:r>
      <w:r w:rsidRPr="00C271A7">
        <w:rPr>
          <w:rFonts w:ascii="Century Schoolbook" w:hAnsi="Century Schoolbook" w:cs="Times New Roman"/>
          <w:sz w:val="22"/>
          <w:szCs w:val="22"/>
          <w:u w:val="single"/>
        </w:rPr>
        <w:t xml:space="preserve"> </w:t>
      </w:r>
    </w:p>
    <w:p w:rsidR="004F44B2" w:rsidRPr="00166399" w:rsidRDefault="004F44B2" w:rsidP="004F44B2">
      <w:pPr>
        <w:ind w:left="720" w:right="720"/>
        <w:contextualSpacing/>
        <w:rPr>
          <w:rFonts w:ascii="Century Schoolbook" w:hAnsi="Century Schoolbook" w:cs="Times New Roman"/>
          <w:sz w:val="22"/>
          <w:szCs w:val="22"/>
        </w:rPr>
      </w:pPr>
      <w:r w:rsidRPr="00166399">
        <w:rPr>
          <w:rFonts w:ascii="Century Schoolbook" w:hAnsi="Century Schoolbook" w:cs="Times New Roman"/>
          <w:smallCaps/>
          <w:sz w:val="22"/>
          <w:szCs w:val="22"/>
        </w:rPr>
        <w:t>Best Practice 9A</w:t>
      </w:r>
      <w:r w:rsidRPr="00166399">
        <w:rPr>
          <w:rFonts w:ascii="Century Schoolbook" w:hAnsi="Century Schoolbook" w:cs="Times New Roman"/>
          <w:sz w:val="22"/>
          <w:szCs w:val="22"/>
        </w:rPr>
        <w:t xml:space="preserve">: The JPML should </w:t>
      </w:r>
      <w:r>
        <w:rPr>
          <w:rFonts w:ascii="Century Schoolbook" w:hAnsi="Century Schoolbook" w:cs="Times New Roman"/>
          <w:sz w:val="22"/>
          <w:szCs w:val="22"/>
        </w:rPr>
        <w:t xml:space="preserve">continue to </w:t>
      </w:r>
      <w:r w:rsidRPr="00166399">
        <w:rPr>
          <w:rFonts w:ascii="Century Schoolbook" w:hAnsi="Century Schoolbook" w:cs="Times New Roman"/>
          <w:sz w:val="22"/>
          <w:szCs w:val="22"/>
        </w:rPr>
        <w:t xml:space="preserve">diversify the composition of </w:t>
      </w:r>
      <w:r>
        <w:rPr>
          <w:rFonts w:ascii="Century Schoolbook" w:hAnsi="Century Schoolbook" w:cs="Times New Roman"/>
          <w:sz w:val="22"/>
          <w:szCs w:val="22"/>
        </w:rPr>
        <w:t xml:space="preserve">appointed </w:t>
      </w:r>
      <w:r w:rsidRPr="00166399">
        <w:rPr>
          <w:rFonts w:ascii="Century Schoolbook" w:hAnsi="Century Schoolbook" w:cs="Times New Roman"/>
          <w:sz w:val="22"/>
          <w:szCs w:val="22"/>
        </w:rPr>
        <w:t xml:space="preserve">MDL transferee judges.  </w:t>
      </w:r>
    </w:p>
    <w:p w:rsidR="004F44B2" w:rsidRPr="00C271A7" w:rsidRDefault="004F44B2" w:rsidP="004F44B2">
      <w:pPr>
        <w:spacing w:before="120" w:line="360" w:lineRule="auto"/>
        <w:ind w:firstLine="720"/>
        <w:rPr>
          <w:rFonts w:ascii="Century Schoolbook" w:hAnsi="Century Schoolbook" w:cs="Times New Roman"/>
          <w:sz w:val="22"/>
          <w:szCs w:val="22"/>
        </w:rPr>
      </w:pPr>
      <w:r w:rsidRPr="00C271A7">
        <w:rPr>
          <w:rFonts w:ascii="Century Schoolbook" w:hAnsi="Century Schoolbook" w:cs="Times New Roman"/>
          <w:sz w:val="22"/>
          <w:szCs w:val="22"/>
        </w:rPr>
        <w:t>If the composition</w:t>
      </w:r>
      <w:r>
        <w:rPr>
          <w:rFonts w:ascii="Century Schoolbook" w:hAnsi="Century Schoolbook" w:cs="Times New Roman"/>
          <w:b/>
          <w:sz w:val="22"/>
          <w:szCs w:val="22"/>
        </w:rPr>
        <w:t xml:space="preserve"> </w:t>
      </w:r>
      <w:r w:rsidRPr="00C271A7">
        <w:rPr>
          <w:rFonts w:ascii="Century Schoolbook" w:hAnsi="Century Schoolbook" w:cs="Times New Roman"/>
          <w:sz w:val="22"/>
          <w:szCs w:val="22"/>
        </w:rPr>
        <w:t xml:space="preserve">of the transferee judges is itself diverse, the likelihood of a diverse pool of applicants and a diverse </w:t>
      </w:r>
      <w:r>
        <w:rPr>
          <w:rFonts w:ascii="Century Schoolbook" w:hAnsi="Century Schoolbook" w:cs="Times New Roman"/>
          <w:sz w:val="22"/>
          <w:szCs w:val="22"/>
        </w:rPr>
        <w:t xml:space="preserve">leadership </w:t>
      </w:r>
      <w:r w:rsidRPr="00C271A7">
        <w:rPr>
          <w:rFonts w:ascii="Century Schoolbook" w:hAnsi="Century Schoolbook" w:cs="Times New Roman"/>
          <w:sz w:val="22"/>
          <w:szCs w:val="22"/>
        </w:rPr>
        <w:t>appointee is increased.</w:t>
      </w:r>
      <w:r w:rsidRPr="00C271A7">
        <w:rPr>
          <w:rStyle w:val="FootnoteReference"/>
          <w:rFonts w:ascii="Century Schoolbook" w:hAnsi="Century Schoolbook" w:cs="Times New Roman"/>
          <w:sz w:val="22"/>
          <w:szCs w:val="22"/>
        </w:rPr>
        <w:footnoteReference w:id="2"/>
      </w:r>
      <w:r w:rsidRPr="00C271A7">
        <w:rPr>
          <w:rFonts w:ascii="Century Schoolbook" w:hAnsi="Century Schoolbook" w:cs="Times New Roman"/>
          <w:sz w:val="22"/>
          <w:szCs w:val="22"/>
        </w:rPr>
        <w:t xml:space="preserve">  </w:t>
      </w:r>
      <w:r w:rsidRPr="00C271A7">
        <w:rPr>
          <w:rFonts w:ascii="Century Schoolbook" w:hAnsi="Century Schoolbook" w:cs="Times New Roman"/>
          <w:sz w:val="22"/>
          <w:szCs w:val="22"/>
        </w:rPr>
        <w:lastRenderedPageBreak/>
        <w:t>The JPML can accomplish this by diversifying the pool of MDL transferee judges.</w:t>
      </w:r>
      <w:r w:rsidRPr="00C271A7">
        <w:rPr>
          <w:rStyle w:val="FootnoteReference"/>
          <w:rFonts w:ascii="Century Schoolbook" w:hAnsi="Century Schoolbook" w:cs="Times New Roman"/>
          <w:sz w:val="22"/>
          <w:szCs w:val="22"/>
        </w:rPr>
        <w:footnoteReference w:id="3"/>
      </w:r>
      <w:r w:rsidRPr="00C271A7">
        <w:rPr>
          <w:rFonts w:ascii="Century Schoolbook" w:hAnsi="Century Schoolbook" w:cs="Times New Roman"/>
          <w:sz w:val="22"/>
          <w:szCs w:val="22"/>
        </w:rPr>
        <w:t xml:space="preserve">  </w:t>
      </w:r>
      <w:r>
        <w:rPr>
          <w:rFonts w:ascii="Century Schoolbook" w:hAnsi="Century Schoolbook" w:cs="Times New Roman"/>
          <w:sz w:val="22"/>
          <w:szCs w:val="22"/>
        </w:rPr>
        <w:t>The</w:t>
      </w:r>
      <w:r w:rsidRPr="00C271A7">
        <w:rPr>
          <w:rFonts w:ascii="Century Schoolbook" w:hAnsi="Century Schoolbook" w:cs="Times New Roman"/>
          <w:sz w:val="22"/>
          <w:szCs w:val="22"/>
        </w:rPr>
        <w:t xml:space="preserve"> results of the JPML’s efforts in promoting diversity in the judiciary have already begun to show.  For the first time in history, </w:t>
      </w:r>
      <w:r>
        <w:rPr>
          <w:rFonts w:ascii="Century Schoolbook" w:hAnsi="Century Schoolbook" w:cs="Times New Roman"/>
          <w:sz w:val="22"/>
          <w:szCs w:val="22"/>
        </w:rPr>
        <w:t>the</w:t>
      </w:r>
      <w:r w:rsidRPr="00C271A7">
        <w:rPr>
          <w:rFonts w:ascii="Century Schoolbook" w:hAnsi="Century Schoolbook" w:cs="Times New Roman"/>
          <w:sz w:val="22"/>
          <w:szCs w:val="22"/>
        </w:rPr>
        <w:t xml:space="preserve"> panel is mostly women—</w:t>
      </w:r>
      <w:r>
        <w:rPr>
          <w:rFonts w:ascii="Century Schoolbook" w:hAnsi="Century Schoolbook" w:cs="Times New Roman"/>
          <w:sz w:val="22"/>
          <w:szCs w:val="22"/>
        </w:rPr>
        <w:t>headed by</w:t>
      </w:r>
      <w:r w:rsidRPr="00C271A7">
        <w:rPr>
          <w:rFonts w:ascii="Century Schoolbook" w:hAnsi="Century Schoolbook" w:cs="Times New Roman"/>
          <w:sz w:val="22"/>
          <w:szCs w:val="22"/>
        </w:rPr>
        <w:t xml:space="preserve"> a female chair,</w:t>
      </w:r>
      <w:r w:rsidRPr="00C271A7">
        <w:rPr>
          <w:rStyle w:val="FootnoteReference"/>
          <w:rFonts w:ascii="Century Schoolbook" w:hAnsi="Century Schoolbook" w:cs="Times New Roman"/>
          <w:sz w:val="22"/>
          <w:szCs w:val="22"/>
        </w:rPr>
        <w:footnoteReference w:id="4"/>
      </w:r>
      <w:r w:rsidRPr="00C271A7">
        <w:rPr>
          <w:rFonts w:ascii="Century Schoolbook" w:hAnsi="Century Schoolbook" w:cs="Times New Roman"/>
          <w:sz w:val="22"/>
          <w:szCs w:val="22"/>
        </w:rPr>
        <w:t xml:space="preserve"> and the panel’s recent appointees include an African American man, a South Asian American man, an African American woman, an Asian American woman, and a white woman.</w:t>
      </w:r>
      <w:r w:rsidRPr="00C271A7">
        <w:rPr>
          <w:rStyle w:val="FootnoteReference"/>
          <w:rFonts w:ascii="Century Schoolbook" w:hAnsi="Century Schoolbook" w:cs="Times New Roman"/>
          <w:sz w:val="22"/>
          <w:szCs w:val="22"/>
        </w:rPr>
        <w:footnoteReference w:id="5"/>
      </w:r>
      <w:r w:rsidRPr="00C271A7">
        <w:rPr>
          <w:rFonts w:ascii="Century Schoolbook" w:hAnsi="Century Schoolbook" w:cs="Times New Roman"/>
          <w:sz w:val="22"/>
          <w:szCs w:val="22"/>
        </w:rPr>
        <w:t xml:space="preserve">  The JPML has also </w:t>
      </w:r>
      <w:r>
        <w:rPr>
          <w:rFonts w:ascii="Century Schoolbook" w:hAnsi="Century Schoolbook" w:cs="Times New Roman"/>
          <w:sz w:val="22"/>
          <w:szCs w:val="22"/>
        </w:rPr>
        <w:t>provided</w:t>
      </w:r>
      <w:r w:rsidRPr="00C271A7">
        <w:rPr>
          <w:rFonts w:ascii="Century Schoolbook" w:hAnsi="Century Schoolbook" w:cs="Times New Roman"/>
          <w:sz w:val="22"/>
          <w:szCs w:val="22"/>
        </w:rPr>
        <w:t xml:space="preserve"> “rookie” judges the opportunity to manage MDL cases and gain experience.</w:t>
      </w:r>
      <w:r w:rsidRPr="00C271A7">
        <w:rPr>
          <w:rStyle w:val="FootnoteReference"/>
          <w:rFonts w:ascii="Century Schoolbook" w:hAnsi="Century Schoolbook" w:cs="Times New Roman"/>
          <w:sz w:val="22"/>
          <w:szCs w:val="22"/>
        </w:rPr>
        <w:footnoteReference w:id="6"/>
      </w:r>
    </w:p>
    <w:p w:rsidR="004F44B2" w:rsidRDefault="004F44B2" w:rsidP="004F44B2">
      <w:pPr>
        <w:spacing w:after="120"/>
        <w:ind w:left="720" w:right="720"/>
        <w:contextualSpacing/>
        <w:rPr>
          <w:rFonts w:ascii="Century Schoolbook" w:hAnsi="Century Schoolbook" w:cs="Times New Roman"/>
          <w:sz w:val="22"/>
          <w:szCs w:val="22"/>
        </w:rPr>
      </w:pPr>
      <w:r w:rsidRPr="00166399">
        <w:rPr>
          <w:rFonts w:ascii="Century Schoolbook" w:hAnsi="Century Schoolbook" w:cs="Times New Roman"/>
          <w:smallCaps/>
          <w:sz w:val="22"/>
          <w:szCs w:val="22"/>
        </w:rPr>
        <w:t>Best Practice 9B</w:t>
      </w:r>
      <w:r w:rsidRPr="00166399">
        <w:rPr>
          <w:rFonts w:ascii="Century Schoolbook" w:hAnsi="Century Schoolbook" w:cs="Times New Roman"/>
          <w:sz w:val="22"/>
          <w:szCs w:val="22"/>
        </w:rPr>
        <w:t xml:space="preserve">: The JPML </w:t>
      </w:r>
      <w:r>
        <w:rPr>
          <w:rFonts w:ascii="Century Schoolbook" w:hAnsi="Century Schoolbook" w:cs="Times New Roman"/>
          <w:sz w:val="22"/>
          <w:szCs w:val="22"/>
        </w:rPr>
        <w:t>should</w:t>
      </w:r>
      <w:r w:rsidRPr="00166399">
        <w:rPr>
          <w:rFonts w:ascii="Century Schoolbook" w:hAnsi="Century Schoolbook" w:cs="Times New Roman"/>
          <w:sz w:val="22"/>
          <w:szCs w:val="22"/>
        </w:rPr>
        <w:t xml:space="preserve"> organize panel discussions and programs on MDL practice.</w:t>
      </w:r>
    </w:p>
    <w:p w:rsidR="004F44B2" w:rsidRDefault="004F44B2" w:rsidP="004F44B2">
      <w:pPr>
        <w:spacing w:after="120"/>
        <w:ind w:left="720" w:right="720"/>
        <w:contextualSpacing/>
        <w:rPr>
          <w:rFonts w:ascii="Century Schoolbook" w:hAnsi="Century Schoolbook" w:cs="Times New Roman"/>
          <w:sz w:val="22"/>
          <w:szCs w:val="22"/>
        </w:rPr>
      </w:pPr>
    </w:p>
    <w:p w:rsidR="004F44B2" w:rsidRPr="00C271A7" w:rsidRDefault="004F44B2" w:rsidP="004F44B2">
      <w:pPr>
        <w:spacing w:before="120" w:after="120" w:line="360" w:lineRule="auto"/>
        <w:ind w:right="720" w:firstLine="720"/>
        <w:contextualSpacing/>
        <w:rPr>
          <w:rFonts w:ascii="Century Schoolbook" w:hAnsi="Century Schoolbook" w:cs="Times New Roman"/>
          <w:sz w:val="22"/>
          <w:szCs w:val="22"/>
        </w:rPr>
      </w:pPr>
      <w:r w:rsidRPr="00C271A7">
        <w:rPr>
          <w:rFonts w:ascii="Century Schoolbook" w:hAnsi="Century Schoolbook" w:cs="Times New Roman"/>
          <w:sz w:val="22"/>
          <w:szCs w:val="22"/>
        </w:rPr>
        <w:t>The JPML can organize panel discussions</w:t>
      </w:r>
      <w:r w:rsidRPr="00C271A7">
        <w:rPr>
          <w:rFonts w:ascii="Century Schoolbook" w:hAnsi="Century Schoolbook" w:cs="Times New Roman"/>
          <w:b/>
          <w:sz w:val="22"/>
          <w:szCs w:val="22"/>
        </w:rPr>
        <w:t xml:space="preserve"> </w:t>
      </w:r>
      <w:r w:rsidRPr="00C271A7">
        <w:rPr>
          <w:rFonts w:ascii="Century Schoolbook" w:hAnsi="Century Schoolbook" w:cs="Times New Roman"/>
          <w:sz w:val="22"/>
          <w:szCs w:val="22"/>
        </w:rPr>
        <w:t xml:space="preserve">that outline the benefits of getting into MDL practice to encourage a larger pool of applicants.  The JPML can also collect data on the </w:t>
      </w:r>
      <w:r>
        <w:rPr>
          <w:rFonts w:ascii="Century Schoolbook" w:hAnsi="Century Schoolbook" w:cs="Times New Roman"/>
          <w:sz w:val="22"/>
          <w:szCs w:val="22"/>
        </w:rPr>
        <w:t>racial</w:t>
      </w:r>
      <w:r w:rsidRPr="00C271A7">
        <w:rPr>
          <w:rFonts w:ascii="Century Schoolbook" w:hAnsi="Century Schoolbook" w:cs="Times New Roman"/>
          <w:sz w:val="22"/>
          <w:szCs w:val="22"/>
        </w:rPr>
        <w:t xml:space="preserve">, ethnic, and gender composition of appointments and use this information to encourage diverse judges to become transferee judges. The JPML </w:t>
      </w:r>
      <w:r>
        <w:rPr>
          <w:rFonts w:ascii="Century Schoolbook" w:hAnsi="Century Schoolbook" w:cs="Times New Roman"/>
          <w:sz w:val="22"/>
          <w:szCs w:val="22"/>
        </w:rPr>
        <w:t>might</w:t>
      </w:r>
      <w:r w:rsidRPr="00C271A7">
        <w:rPr>
          <w:rFonts w:ascii="Century Schoolbook" w:hAnsi="Century Schoolbook" w:cs="Times New Roman"/>
          <w:sz w:val="22"/>
          <w:szCs w:val="22"/>
        </w:rPr>
        <w:t xml:space="preserve"> schedule training for judges interested in handling MDLs. </w:t>
      </w:r>
    </w:p>
    <w:p w:rsidR="004F44B2" w:rsidRPr="00166399" w:rsidRDefault="004F44B2" w:rsidP="004F44B2">
      <w:pPr>
        <w:spacing w:line="360" w:lineRule="auto"/>
        <w:ind w:left="720"/>
        <w:contextualSpacing/>
        <w:rPr>
          <w:rFonts w:ascii="Century Schoolbook" w:hAnsi="Century Schoolbook" w:cs="Times New Roman"/>
          <w:sz w:val="22"/>
          <w:szCs w:val="22"/>
        </w:rPr>
      </w:pPr>
      <w:r w:rsidRPr="00166399">
        <w:rPr>
          <w:rFonts w:ascii="Century Schoolbook" w:hAnsi="Century Schoolbook" w:cs="Times New Roman"/>
          <w:smallCaps/>
          <w:sz w:val="22"/>
          <w:szCs w:val="22"/>
        </w:rPr>
        <w:t>Best Practice 9C</w:t>
      </w:r>
      <w:r w:rsidRPr="00166399">
        <w:rPr>
          <w:rFonts w:ascii="Century Schoolbook" w:hAnsi="Century Schoolbook" w:cs="Times New Roman"/>
          <w:sz w:val="22"/>
          <w:szCs w:val="22"/>
        </w:rPr>
        <w:t xml:space="preserve">: The JPML </w:t>
      </w:r>
      <w:r>
        <w:rPr>
          <w:rFonts w:ascii="Century Schoolbook" w:hAnsi="Century Schoolbook" w:cs="Times New Roman"/>
          <w:sz w:val="22"/>
          <w:szCs w:val="22"/>
        </w:rPr>
        <w:t>should</w:t>
      </w:r>
      <w:r w:rsidRPr="00166399">
        <w:rPr>
          <w:rFonts w:ascii="Century Schoolbook" w:hAnsi="Century Schoolbook" w:cs="Times New Roman"/>
          <w:sz w:val="22"/>
          <w:szCs w:val="22"/>
        </w:rPr>
        <w:t xml:space="preserve"> increase transparency of MDL assignments.  </w:t>
      </w:r>
    </w:p>
    <w:p w:rsidR="004F44B2" w:rsidRDefault="004F44B2" w:rsidP="004F44B2">
      <w:pPr>
        <w:spacing w:line="360" w:lineRule="auto"/>
        <w:ind w:firstLine="720"/>
        <w:contextualSpacing/>
        <w:rPr>
          <w:rFonts w:ascii="Century Schoolbook" w:hAnsi="Century Schoolbook" w:cs="Times New Roman"/>
          <w:sz w:val="22"/>
          <w:szCs w:val="22"/>
        </w:rPr>
      </w:pPr>
      <w:r w:rsidRPr="00C271A7">
        <w:rPr>
          <w:rFonts w:ascii="Century Schoolbook" w:hAnsi="Century Schoolbook" w:cs="Times New Roman"/>
          <w:sz w:val="22"/>
          <w:szCs w:val="22"/>
        </w:rPr>
        <w:t xml:space="preserve">The JPML </w:t>
      </w:r>
      <w:r>
        <w:rPr>
          <w:rFonts w:ascii="Century Schoolbook" w:hAnsi="Century Schoolbook" w:cs="Times New Roman"/>
          <w:sz w:val="22"/>
          <w:szCs w:val="22"/>
        </w:rPr>
        <w:t>enjoys</w:t>
      </w:r>
      <w:r w:rsidRPr="00C271A7">
        <w:rPr>
          <w:rFonts w:ascii="Century Schoolbook" w:hAnsi="Century Schoolbook" w:cs="Times New Roman"/>
          <w:sz w:val="22"/>
          <w:szCs w:val="22"/>
        </w:rPr>
        <w:t xml:space="preserve"> wide discretion in deciding the proper federal district and judge for a case based on the circumstances of the case.  While there are many factors that the Panel considers in making its determination, these reasons are sometimes not reflected in the transfer orders.</w:t>
      </w:r>
      <w:r w:rsidRPr="00C271A7">
        <w:rPr>
          <w:rStyle w:val="FootnoteReference"/>
          <w:rFonts w:ascii="Century Schoolbook" w:hAnsi="Century Schoolbook" w:cs="Times New Roman"/>
          <w:sz w:val="22"/>
          <w:szCs w:val="22"/>
        </w:rPr>
        <w:footnoteReference w:id="7"/>
      </w:r>
      <w:r w:rsidRPr="00C271A7">
        <w:rPr>
          <w:rFonts w:ascii="Century Schoolbook" w:hAnsi="Century Schoolbook" w:cs="Times New Roman"/>
          <w:sz w:val="22"/>
          <w:szCs w:val="22"/>
        </w:rPr>
        <w:t xml:space="preserve">  The JPML should therefore be more transparent about the reasons for assigning MDLs to certain judges.  </w:t>
      </w:r>
    </w:p>
    <w:p w:rsidR="004F44B2" w:rsidRDefault="004F44B2" w:rsidP="004F44B2">
      <w:pPr>
        <w:ind w:left="720" w:right="720"/>
        <w:contextualSpacing/>
        <w:rPr>
          <w:rFonts w:ascii="Century Schoolbook" w:hAnsi="Century Schoolbook" w:cs="Times New Roman"/>
          <w:sz w:val="22"/>
          <w:szCs w:val="22"/>
        </w:rPr>
      </w:pPr>
      <w:r w:rsidRPr="00166399">
        <w:rPr>
          <w:rFonts w:ascii="Century Schoolbook" w:hAnsi="Century Schoolbook" w:cs="Times New Roman"/>
          <w:smallCaps/>
          <w:sz w:val="22"/>
          <w:szCs w:val="22"/>
        </w:rPr>
        <w:t>Best Practice 9</w:t>
      </w:r>
      <w:r>
        <w:rPr>
          <w:rFonts w:ascii="Century Schoolbook" w:hAnsi="Century Schoolbook" w:cs="Times New Roman"/>
          <w:smallCaps/>
          <w:sz w:val="22"/>
          <w:szCs w:val="22"/>
        </w:rPr>
        <w:t>D</w:t>
      </w:r>
      <w:r w:rsidRPr="00166399">
        <w:rPr>
          <w:rFonts w:ascii="Century Schoolbook" w:hAnsi="Century Schoolbook" w:cs="Times New Roman"/>
          <w:sz w:val="22"/>
          <w:szCs w:val="22"/>
        </w:rPr>
        <w:t xml:space="preserve">: The </w:t>
      </w:r>
      <w:r>
        <w:rPr>
          <w:rFonts w:ascii="Century Schoolbook" w:hAnsi="Century Schoolbook" w:cs="Times New Roman"/>
          <w:sz w:val="22"/>
          <w:szCs w:val="22"/>
        </w:rPr>
        <w:t>JPML</w:t>
      </w:r>
      <w:r w:rsidRPr="00166399">
        <w:rPr>
          <w:rFonts w:ascii="Century Schoolbook" w:hAnsi="Century Schoolbook" w:cs="Times New Roman"/>
          <w:sz w:val="22"/>
          <w:szCs w:val="22"/>
        </w:rPr>
        <w:t xml:space="preserve"> </w:t>
      </w:r>
      <w:r>
        <w:rPr>
          <w:rFonts w:ascii="Century Schoolbook" w:hAnsi="Century Schoolbook" w:cs="Times New Roman"/>
          <w:sz w:val="22"/>
          <w:szCs w:val="22"/>
        </w:rPr>
        <w:t>should</w:t>
      </w:r>
      <w:r w:rsidRPr="00166399">
        <w:rPr>
          <w:rFonts w:ascii="Century Schoolbook" w:hAnsi="Century Schoolbook" w:cs="Times New Roman"/>
          <w:sz w:val="22"/>
          <w:szCs w:val="22"/>
        </w:rPr>
        <w:t xml:space="preserve"> create and maintain a database of leadership appointment orders.</w:t>
      </w:r>
    </w:p>
    <w:p w:rsidR="004F44B2" w:rsidRPr="00166399" w:rsidRDefault="004F44B2" w:rsidP="004F44B2">
      <w:pPr>
        <w:ind w:left="720" w:right="720"/>
        <w:contextualSpacing/>
        <w:rPr>
          <w:rFonts w:ascii="Century Schoolbook" w:hAnsi="Century Schoolbook" w:cs="Times New Roman"/>
          <w:sz w:val="22"/>
          <w:szCs w:val="22"/>
        </w:rPr>
      </w:pPr>
    </w:p>
    <w:p w:rsidR="004F44B2" w:rsidRPr="00C271A7" w:rsidRDefault="004F44B2" w:rsidP="004F44B2">
      <w:pPr>
        <w:spacing w:line="360" w:lineRule="auto"/>
        <w:ind w:firstLine="720"/>
        <w:contextualSpacing/>
        <w:rPr>
          <w:rFonts w:ascii="Century Schoolbook" w:hAnsi="Century Schoolbook" w:cs="Times New Roman"/>
          <w:b/>
          <w:i/>
          <w:sz w:val="22"/>
          <w:szCs w:val="22"/>
        </w:rPr>
      </w:pPr>
      <w:r w:rsidRPr="00C271A7">
        <w:rPr>
          <w:rFonts w:ascii="Century Schoolbook" w:hAnsi="Century Schoolbook" w:cs="Times New Roman"/>
          <w:sz w:val="22"/>
          <w:szCs w:val="22"/>
        </w:rPr>
        <w:lastRenderedPageBreak/>
        <w:t>This database can be a great source of information for judges, particularly first-time MDL judges.  The Center can also use this information to create suggested guidelines for judges on how to appoint diverse leadership positions without constitutional conflicts.</w:t>
      </w:r>
    </w:p>
    <w:p w:rsidR="004F44B2" w:rsidRPr="00C271A7" w:rsidRDefault="004F44B2" w:rsidP="004F44B2">
      <w:pPr>
        <w:spacing w:line="360" w:lineRule="auto"/>
        <w:contextualSpacing/>
        <w:rPr>
          <w:rFonts w:ascii="Century Schoolbook" w:hAnsi="Century Schoolbook" w:cs="Times New Roman"/>
          <w:sz w:val="22"/>
          <w:szCs w:val="22"/>
          <w:u w:val="single"/>
        </w:rPr>
      </w:pPr>
      <w:r w:rsidRPr="00C271A7">
        <w:rPr>
          <w:rFonts w:ascii="Century Schoolbook" w:hAnsi="Century Schoolbook" w:cs="Times New Roman"/>
          <w:sz w:val="22"/>
          <w:szCs w:val="22"/>
          <w:u w:val="single"/>
        </w:rPr>
        <w:t xml:space="preserve">Judicial Conference: </w:t>
      </w:r>
    </w:p>
    <w:p w:rsidR="004F44B2" w:rsidRDefault="004F44B2" w:rsidP="004F44B2">
      <w:pPr>
        <w:spacing w:after="120"/>
        <w:ind w:left="720" w:right="720"/>
        <w:contextualSpacing/>
        <w:rPr>
          <w:rFonts w:ascii="Century Schoolbook" w:hAnsi="Century Schoolbook" w:cs="Times New Roman"/>
          <w:sz w:val="22"/>
          <w:szCs w:val="22"/>
        </w:rPr>
      </w:pPr>
      <w:r w:rsidRPr="00166399">
        <w:rPr>
          <w:rFonts w:ascii="Century Schoolbook" w:hAnsi="Century Schoolbook" w:cs="Times New Roman"/>
          <w:smallCaps/>
          <w:sz w:val="22"/>
          <w:szCs w:val="22"/>
        </w:rPr>
        <w:t>Best Practice 9</w:t>
      </w:r>
      <w:r>
        <w:rPr>
          <w:rFonts w:ascii="Century Schoolbook" w:hAnsi="Century Schoolbook" w:cs="Times New Roman"/>
          <w:smallCaps/>
          <w:sz w:val="22"/>
          <w:szCs w:val="22"/>
        </w:rPr>
        <w:t>E</w:t>
      </w:r>
      <w:r w:rsidRPr="00166399">
        <w:rPr>
          <w:rFonts w:ascii="Century Schoolbook" w:hAnsi="Century Schoolbook" w:cs="Times New Roman"/>
          <w:sz w:val="22"/>
          <w:szCs w:val="22"/>
        </w:rPr>
        <w:t xml:space="preserve">: The Judicial Conference </w:t>
      </w:r>
      <w:r>
        <w:rPr>
          <w:rFonts w:ascii="Century Schoolbook" w:hAnsi="Century Schoolbook" w:cs="Times New Roman"/>
          <w:sz w:val="22"/>
          <w:szCs w:val="22"/>
        </w:rPr>
        <w:t xml:space="preserve">should consider recommending to the Chief Justice that he </w:t>
      </w:r>
      <w:r w:rsidRPr="00166399">
        <w:rPr>
          <w:rFonts w:ascii="Century Schoolbook" w:hAnsi="Century Schoolbook" w:cs="Times New Roman"/>
          <w:sz w:val="22"/>
          <w:szCs w:val="22"/>
        </w:rPr>
        <w:t>establish a committee on diversity that researches and recommends policies to improve diversity.</w:t>
      </w:r>
    </w:p>
    <w:p w:rsidR="004F44B2" w:rsidRDefault="004F44B2" w:rsidP="004F44B2">
      <w:pPr>
        <w:ind w:left="720" w:right="720"/>
        <w:contextualSpacing/>
        <w:rPr>
          <w:rFonts w:ascii="Century Schoolbook" w:hAnsi="Century Schoolbook" w:cs="Times New Roman"/>
          <w:sz w:val="22"/>
          <w:szCs w:val="22"/>
        </w:rPr>
      </w:pPr>
    </w:p>
    <w:p w:rsidR="004F44B2" w:rsidRDefault="004F44B2" w:rsidP="004F44B2">
      <w:pPr>
        <w:spacing w:before="120" w:line="360" w:lineRule="auto"/>
        <w:ind w:right="720" w:firstLine="720"/>
        <w:contextualSpacing/>
        <w:rPr>
          <w:rFonts w:ascii="Century Schoolbook" w:hAnsi="Century Schoolbook" w:cs="Times New Roman"/>
          <w:sz w:val="22"/>
          <w:szCs w:val="22"/>
        </w:rPr>
      </w:pPr>
      <w:r w:rsidRPr="00C271A7">
        <w:rPr>
          <w:rFonts w:ascii="Century Schoolbook" w:hAnsi="Century Schoolbook" w:cs="Times New Roman"/>
          <w:sz w:val="22"/>
          <w:szCs w:val="22"/>
        </w:rPr>
        <w:t xml:space="preserve">Based on the results of the </w:t>
      </w:r>
      <w:r>
        <w:rPr>
          <w:rFonts w:ascii="Century Schoolbook" w:hAnsi="Century Schoolbook" w:cs="Times New Roman"/>
          <w:sz w:val="22"/>
          <w:szCs w:val="22"/>
        </w:rPr>
        <w:t xml:space="preserve">diversity committee </w:t>
      </w:r>
      <w:r w:rsidRPr="00C271A7">
        <w:rPr>
          <w:rFonts w:ascii="Century Schoolbook" w:hAnsi="Century Schoolbook" w:cs="Times New Roman"/>
          <w:sz w:val="22"/>
          <w:szCs w:val="22"/>
        </w:rPr>
        <w:t>research, the Conference can set long</w:t>
      </w:r>
      <w:r>
        <w:rPr>
          <w:rFonts w:ascii="Century Schoolbook" w:hAnsi="Century Schoolbook" w:cs="Times New Roman"/>
          <w:sz w:val="22"/>
          <w:szCs w:val="22"/>
        </w:rPr>
        <w:t>-</w:t>
      </w:r>
      <w:r w:rsidRPr="00C271A7">
        <w:rPr>
          <w:rFonts w:ascii="Century Schoolbook" w:hAnsi="Century Schoolbook" w:cs="Times New Roman"/>
          <w:sz w:val="22"/>
          <w:szCs w:val="22"/>
        </w:rPr>
        <w:t>term and short-term goals on improving diversity in</w:t>
      </w:r>
      <w:r>
        <w:rPr>
          <w:rFonts w:ascii="Century Schoolbook" w:hAnsi="Century Schoolbook" w:cs="Times New Roman"/>
          <w:sz w:val="22"/>
          <w:szCs w:val="22"/>
        </w:rPr>
        <w:t xml:space="preserve"> class action and </w:t>
      </w:r>
      <w:r w:rsidRPr="00C271A7">
        <w:rPr>
          <w:rFonts w:ascii="Century Schoolbook" w:hAnsi="Century Schoolbook" w:cs="Times New Roman"/>
          <w:sz w:val="22"/>
          <w:szCs w:val="22"/>
        </w:rPr>
        <w:t xml:space="preserve">MDL leadership </w:t>
      </w:r>
      <w:r>
        <w:rPr>
          <w:rFonts w:ascii="Century Schoolbook" w:hAnsi="Century Schoolbook" w:cs="Times New Roman"/>
          <w:sz w:val="22"/>
          <w:szCs w:val="22"/>
        </w:rPr>
        <w:t xml:space="preserve">as well as other judicial appointments </w:t>
      </w:r>
      <w:r w:rsidRPr="00C271A7">
        <w:rPr>
          <w:rFonts w:ascii="Century Schoolbook" w:hAnsi="Century Schoolbook" w:cs="Times New Roman"/>
          <w:sz w:val="22"/>
          <w:szCs w:val="22"/>
        </w:rPr>
        <w:t xml:space="preserve">and track these goals on an annual basis. </w:t>
      </w:r>
    </w:p>
    <w:p w:rsidR="004F44B2" w:rsidRDefault="004F44B2" w:rsidP="004F44B2">
      <w:pPr>
        <w:spacing w:after="120"/>
        <w:ind w:right="720" w:firstLine="720"/>
        <w:contextualSpacing/>
        <w:rPr>
          <w:rFonts w:ascii="Century Schoolbook" w:hAnsi="Century Schoolbook" w:cs="Times New Roman"/>
          <w:sz w:val="22"/>
          <w:szCs w:val="22"/>
        </w:rPr>
      </w:pPr>
      <w:r w:rsidRPr="00AA69E3">
        <w:rPr>
          <w:rFonts w:ascii="Century Schoolbook" w:hAnsi="Century Schoolbook" w:cs="Times New Roman"/>
          <w:smallCaps/>
          <w:sz w:val="22"/>
          <w:szCs w:val="22"/>
        </w:rPr>
        <w:t>Best practice 9</w:t>
      </w:r>
      <w:r>
        <w:rPr>
          <w:rFonts w:ascii="Century Schoolbook" w:hAnsi="Century Schoolbook" w:cs="Times New Roman"/>
          <w:smallCaps/>
          <w:sz w:val="22"/>
          <w:szCs w:val="22"/>
        </w:rPr>
        <w:t>F</w:t>
      </w:r>
      <w:r>
        <w:rPr>
          <w:rFonts w:ascii="Century Schoolbook" w:hAnsi="Century Schoolbook" w:cs="Times New Roman"/>
          <w:sz w:val="22"/>
          <w:szCs w:val="22"/>
        </w:rPr>
        <w:t xml:space="preserve">: The Judicial Conference should issue a model local rule </w:t>
      </w:r>
      <w:r>
        <w:rPr>
          <w:rFonts w:ascii="Century Schoolbook" w:hAnsi="Century Schoolbook" w:cs="Times New Roman"/>
          <w:sz w:val="22"/>
          <w:szCs w:val="22"/>
        </w:rPr>
        <w:tab/>
        <w:t>promoting diversity in appointments by judges.</w:t>
      </w:r>
    </w:p>
    <w:p w:rsidR="004F44B2" w:rsidRDefault="004F44B2" w:rsidP="004F44B2">
      <w:pPr>
        <w:spacing w:after="120"/>
        <w:ind w:right="720" w:firstLine="720"/>
        <w:contextualSpacing/>
        <w:rPr>
          <w:rFonts w:ascii="Century Schoolbook" w:hAnsi="Century Schoolbook" w:cs="Times New Roman"/>
          <w:sz w:val="22"/>
          <w:szCs w:val="22"/>
        </w:rPr>
      </w:pPr>
    </w:p>
    <w:p w:rsidR="004F44B2" w:rsidRPr="00C271A7" w:rsidRDefault="004F44B2" w:rsidP="004F44B2">
      <w:pPr>
        <w:spacing w:line="360" w:lineRule="auto"/>
        <w:ind w:firstLine="720"/>
        <w:contextualSpacing/>
        <w:rPr>
          <w:rFonts w:ascii="Century Schoolbook" w:hAnsi="Century Schoolbook" w:cs="Times New Roman"/>
          <w:sz w:val="22"/>
          <w:szCs w:val="22"/>
        </w:rPr>
      </w:pPr>
      <w:r>
        <w:rPr>
          <w:rFonts w:ascii="Century Schoolbook" w:hAnsi="Century Schoolbook" w:cs="Times New Roman"/>
          <w:sz w:val="22"/>
          <w:szCs w:val="22"/>
        </w:rPr>
        <w:t xml:space="preserve">The Judicial Conference Committee on Court Administration and Case Management should consider proposing a model local rule encouraging judges to take into account diversity in making appointments in litigation.  Several judges have issued standing orders promoting diversity in their cases.  CACM should study these exemplar orders in fashioning a national model local rule.   </w:t>
      </w:r>
    </w:p>
    <w:p w:rsidR="004F44B2" w:rsidRDefault="004F44B2" w:rsidP="004F44B2">
      <w:pPr>
        <w:spacing w:line="360" w:lineRule="auto"/>
        <w:contextualSpacing/>
        <w:rPr>
          <w:rFonts w:ascii="Century Schoolbook" w:hAnsi="Century Schoolbook" w:cs="Times New Roman"/>
          <w:sz w:val="22"/>
          <w:szCs w:val="22"/>
          <w:u w:val="single"/>
        </w:rPr>
      </w:pPr>
      <w:r w:rsidRPr="00C271A7">
        <w:rPr>
          <w:rFonts w:ascii="Century Schoolbook" w:hAnsi="Century Schoolbook" w:cs="Times New Roman"/>
          <w:sz w:val="22"/>
          <w:szCs w:val="22"/>
          <w:u w:val="single"/>
        </w:rPr>
        <w:t xml:space="preserve">Federal Judicial Center: </w:t>
      </w:r>
    </w:p>
    <w:p w:rsidR="004F44B2" w:rsidRDefault="004F44B2" w:rsidP="004F44B2">
      <w:pPr>
        <w:spacing w:after="120"/>
        <w:ind w:left="720" w:right="720"/>
        <w:contextualSpacing/>
        <w:rPr>
          <w:rFonts w:ascii="Century Schoolbook" w:hAnsi="Century Schoolbook" w:cs="Times New Roman"/>
          <w:sz w:val="22"/>
          <w:szCs w:val="22"/>
        </w:rPr>
      </w:pPr>
      <w:r w:rsidRPr="00166399">
        <w:rPr>
          <w:rFonts w:ascii="Century Schoolbook" w:hAnsi="Century Schoolbook" w:cs="Times New Roman"/>
          <w:smallCaps/>
          <w:sz w:val="22"/>
          <w:szCs w:val="22"/>
        </w:rPr>
        <w:lastRenderedPageBreak/>
        <w:t>Best Practice</w:t>
      </w:r>
      <w:r>
        <w:rPr>
          <w:rFonts w:ascii="Century Schoolbook" w:hAnsi="Century Schoolbook" w:cs="Times New Roman"/>
          <w:smallCaps/>
          <w:sz w:val="22"/>
          <w:szCs w:val="22"/>
        </w:rPr>
        <w:t xml:space="preserve"> 9G</w:t>
      </w:r>
      <w:r w:rsidRPr="00166399">
        <w:rPr>
          <w:rFonts w:ascii="Century Schoolbook" w:hAnsi="Century Schoolbook" w:cs="Times New Roman"/>
          <w:sz w:val="22"/>
          <w:szCs w:val="22"/>
        </w:rPr>
        <w:t xml:space="preserve">: The Federal Judicial Center should continue to strengthen its educational programs training judges to consider diversity in appointing lawyers to leadership positions.  </w:t>
      </w:r>
    </w:p>
    <w:p w:rsidR="004F44B2" w:rsidRPr="00166399" w:rsidRDefault="004F44B2" w:rsidP="004F44B2">
      <w:pPr>
        <w:spacing w:after="120"/>
        <w:ind w:left="720" w:right="720"/>
        <w:contextualSpacing/>
        <w:rPr>
          <w:rFonts w:ascii="Century Schoolbook" w:hAnsi="Century Schoolbook" w:cs="Times New Roman"/>
          <w:sz w:val="22"/>
          <w:szCs w:val="22"/>
          <w:u w:val="single"/>
        </w:rPr>
      </w:pPr>
    </w:p>
    <w:p w:rsidR="004F44B2" w:rsidRPr="008F3E1D" w:rsidRDefault="004F44B2" w:rsidP="004F44B2">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In 2001, Professor Deborah Rhode described the issue of gender inequality in the legal profession as the “‘no-problem’ problem,” referring to the assumption that the longstanding gender gap in the legal profession would eventually work itself out as time passed.</w:t>
      </w:r>
      <w:r w:rsidRPr="008F3E1D">
        <w:rPr>
          <w:rStyle w:val="FootnoteReference"/>
          <w:rFonts w:ascii="Century Schoolbook" w:hAnsi="Century Schoolbook" w:cs="Times New Roman"/>
          <w:sz w:val="22"/>
          <w:szCs w:val="22"/>
        </w:rPr>
        <w:t xml:space="preserve"> </w:t>
      </w:r>
      <w:r w:rsidRPr="008F3E1D">
        <w:rPr>
          <w:rStyle w:val="FootnoteReference"/>
          <w:rFonts w:ascii="Century Schoolbook" w:hAnsi="Century Schoolbook" w:cs="Times New Roman"/>
          <w:sz w:val="22"/>
          <w:szCs w:val="22"/>
        </w:rPr>
        <w:footnoteReference w:id="8"/>
      </w:r>
      <w:r w:rsidRPr="008F3E1D">
        <w:rPr>
          <w:rFonts w:ascii="Century Schoolbook" w:hAnsi="Century Schoolbook" w:cs="Times New Roman"/>
          <w:sz w:val="22"/>
          <w:szCs w:val="22"/>
        </w:rPr>
        <w:t xml:space="preserve">  Given the glacial pace of change in diversity statistics among the legal profession over the last several decades, a lack of specific goals and timelines for achieving those goals is one of the greatest barriers to change.</w:t>
      </w:r>
      <w:r w:rsidRPr="008F3E1D">
        <w:rPr>
          <w:rStyle w:val="FootnoteReference"/>
          <w:rFonts w:ascii="Century Schoolbook" w:hAnsi="Century Schoolbook" w:cs="Times New Roman"/>
          <w:sz w:val="22"/>
          <w:szCs w:val="22"/>
        </w:rPr>
        <w:footnoteReference w:id="9"/>
      </w:r>
    </w:p>
    <w:p w:rsidR="004F44B2" w:rsidRPr="008F3E1D" w:rsidRDefault="004F44B2" w:rsidP="004F44B2">
      <w:pPr>
        <w:widowControl w:val="0"/>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The first step in combatting second-generation discrimination is education and training to help people understand the problem.</w:t>
      </w:r>
      <w:r w:rsidRPr="008F3E1D">
        <w:rPr>
          <w:rStyle w:val="FootnoteReference"/>
          <w:rFonts w:ascii="Century Schoolbook" w:hAnsi="Century Schoolbook" w:cs="Times New Roman"/>
          <w:sz w:val="22"/>
          <w:szCs w:val="22"/>
        </w:rPr>
        <w:footnoteReference w:id="10"/>
      </w:r>
      <w:r w:rsidRPr="008F3E1D">
        <w:rPr>
          <w:rFonts w:ascii="Century Schoolbook" w:hAnsi="Century Schoolbook" w:cs="Times New Roman"/>
          <w:sz w:val="22"/>
          <w:szCs w:val="22"/>
        </w:rPr>
        <w:t xml:space="preserve">  Researchers at the Center for Gender in Organizations note that because second generation gender biases are largely invisible, leaders often mistakenly believe that gender bias no longer exists.</w:t>
      </w:r>
      <w:r w:rsidRPr="008F3E1D">
        <w:rPr>
          <w:rStyle w:val="FootnoteReference"/>
          <w:rFonts w:ascii="Century Schoolbook" w:hAnsi="Century Schoolbook" w:cs="Times New Roman"/>
          <w:sz w:val="22"/>
          <w:szCs w:val="22"/>
        </w:rPr>
        <w:footnoteReference w:id="11"/>
      </w:r>
      <w:r w:rsidRPr="008F3E1D">
        <w:rPr>
          <w:rFonts w:ascii="Century Schoolbook" w:hAnsi="Century Schoolbook" w:cs="Times New Roman"/>
          <w:sz w:val="22"/>
          <w:szCs w:val="22"/>
        </w:rPr>
        <w:t xml:space="preserve">  Corrective training can and should take place at the law firm </w:t>
      </w:r>
      <w:r w:rsidRPr="008F3E1D">
        <w:rPr>
          <w:rFonts w:ascii="Century Schoolbook" w:hAnsi="Century Schoolbook" w:cs="Times New Roman"/>
          <w:sz w:val="22"/>
          <w:szCs w:val="22"/>
        </w:rPr>
        <w:lastRenderedPageBreak/>
        <w:t>level.  But it could also take place across firms, among groups of existing MDL and class action leaders, and with judges who preside over such cases, sensitizing them more to the biases they may not realize exist and alerting them to chances to self-correct.  That leadership, in turn, could also challenge others within their own ranks to be more aware, self-reflective</w:t>
      </w:r>
      <w:r>
        <w:rPr>
          <w:rFonts w:ascii="Century Schoolbook" w:hAnsi="Century Schoolbook" w:cs="Times New Roman"/>
          <w:sz w:val="22"/>
          <w:szCs w:val="22"/>
        </w:rPr>
        <w:t>,</w:t>
      </w:r>
      <w:r w:rsidRPr="008F3E1D">
        <w:rPr>
          <w:rFonts w:ascii="Century Schoolbook" w:hAnsi="Century Schoolbook" w:cs="Times New Roman"/>
          <w:sz w:val="22"/>
          <w:szCs w:val="22"/>
        </w:rPr>
        <w:t xml:space="preserve"> and self-correcting.  </w:t>
      </w:r>
    </w:p>
    <w:p w:rsidR="004F44B2" w:rsidRPr="008F3E1D" w:rsidRDefault="004F44B2" w:rsidP="004F44B2">
      <w:pPr>
        <w:spacing w:line="360" w:lineRule="auto"/>
        <w:ind w:firstLine="720"/>
        <w:rPr>
          <w:rFonts w:ascii="Century Schoolbook" w:hAnsi="Century Schoolbook" w:cs="Times New Roman"/>
          <w:sz w:val="22"/>
          <w:szCs w:val="22"/>
        </w:rPr>
      </w:pPr>
      <w:r w:rsidRPr="008F3E1D">
        <w:rPr>
          <w:rFonts w:ascii="Century Schoolbook" w:hAnsi="Century Schoolbook" w:cs="Times New Roman"/>
          <w:sz w:val="22"/>
          <w:szCs w:val="22"/>
        </w:rPr>
        <w:t>Encouragingly, judges, lawyers</w:t>
      </w:r>
      <w:r>
        <w:rPr>
          <w:rFonts w:ascii="Century Schoolbook" w:hAnsi="Century Schoolbook" w:cs="Times New Roman"/>
          <w:sz w:val="22"/>
          <w:szCs w:val="22"/>
        </w:rPr>
        <w:t>,</w:t>
      </w:r>
      <w:r w:rsidRPr="008F3E1D">
        <w:rPr>
          <w:rFonts w:ascii="Century Schoolbook" w:hAnsi="Century Schoolbook" w:cs="Times New Roman"/>
          <w:sz w:val="22"/>
          <w:szCs w:val="22"/>
        </w:rPr>
        <w:t xml:space="preserve"> and the legal community have started to recognize that the gender gap creates a disservice to our clients and the profession as a whole.  From 2011 to 2015, women appointed to MDL leadership has grown from 13.5% to 27.66%</w:t>
      </w:r>
      <w:r>
        <w:rPr>
          <w:rFonts w:ascii="Century Schoolbook" w:hAnsi="Century Schoolbook" w:cs="Times New Roman"/>
          <w:sz w:val="22"/>
          <w:szCs w:val="22"/>
        </w:rPr>
        <w:t>,</w:t>
      </w:r>
      <w:r w:rsidRPr="008F3E1D">
        <w:rPr>
          <w:rFonts w:ascii="Century Schoolbook" w:hAnsi="Century Schoolbook" w:cs="Times New Roman"/>
          <w:sz w:val="22"/>
          <w:szCs w:val="22"/>
        </w:rPr>
        <w:t xml:space="preserve"> and it appears that this upward trajectory continued through 2016.</w:t>
      </w:r>
      <w:r w:rsidRPr="008F3E1D">
        <w:rPr>
          <w:rStyle w:val="FootnoteReference"/>
          <w:rFonts w:ascii="Century Schoolbook" w:hAnsi="Century Schoolbook" w:cs="Times New Roman"/>
          <w:sz w:val="22"/>
          <w:szCs w:val="22"/>
        </w:rPr>
        <w:footnoteReference w:id="12"/>
      </w:r>
      <w:r w:rsidRPr="008F3E1D">
        <w:rPr>
          <w:rFonts w:ascii="Century Schoolbook" w:hAnsi="Century Schoolbook" w:cs="Times New Roman"/>
          <w:sz w:val="22"/>
          <w:szCs w:val="22"/>
        </w:rPr>
        <w:t xml:space="preserve">  This dramatic change is likely the result of women challenging the gender gap by finding their voice, organizing, and galvanizing.  Women </w:t>
      </w:r>
      <w:proofErr w:type="spellStart"/>
      <w:r w:rsidRPr="008F3E1D">
        <w:rPr>
          <w:rFonts w:ascii="Century Schoolbook" w:hAnsi="Century Schoolbook" w:cs="Times New Roman"/>
          <w:sz w:val="22"/>
          <w:szCs w:val="22"/>
        </w:rPr>
        <w:t>En</w:t>
      </w:r>
      <w:proofErr w:type="spellEnd"/>
      <w:r w:rsidRPr="008F3E1D">
        <w:rPr>
          <w:rFonts w:ascii="Century Schoolbook" w:hAnsi="Century Schoolbook" w:cs="Times New Roman"/>
          <w:sz w:val="22"/>
          <w:szCs w:val="22"/>
        </w:rPr>
        <w:t xml:space="preserve"> Mass, an organization of women plaintiffs’ tort lawyers founded by Aimee Wagstaff, is one example of an organization created to facilitate networking and mentoring opportunities to overcome the chicken-and-egg conundrum.</w:t>
      </w:r>
      <w:r w:rsidRPr="008F3E1D">
        <w:rPr>
          <w:rStyle w:val="FootnoteReference"/>
          <w:rFonts w:ascii="Century Schoolbook" w:hAnsi="Century Schoolbook" w:cs="Times New Roman"/>
          <w:sz w:val="22"/>
          <w:szCs w:val="22"/>
        </w:rPr>
        <w:footnoteReference w:id="13"/>
      </w:r>
    </w:p>
    <w:p w:rsidR="004F44B2" w:rsidRDefault="004F44B2" w:rsidP="004F44B2">
      <w:pPr>
        <w:ind w:left="720" w:right="720"/>
        <w:contextualSpacing/>
        <w:rPr>
          <w:rFonts w:ascii="Century Schoolbook" w:hAnsi="Century Schoolbook" w:cs="Times New Roman"/>
          <w:sz w:val="22"/>
          <w:szCs w:val="22"/>
        </w:rPr>
      </w:pPr>
      <w:r w:rsidRPr="00166399">
        <w:rPr>
          <w:rFonts w:ascii="Century Schoolbook" w:hAnsi="Century Schoolbook" w:cs="Times New Roman"/>
          <w:smallCaps/>
          <w:sz w:val="22"/>
          <w:szCs w:val="22"/>
        </w:rPr>
        <w:t>Best Practice 9</w:t>
      </w:r>
      <w:r>
        <w:rPr>
          <w:rFonts w:ascii="Century Schoolbook" w:hAnsi="Century Schoolbook" w:cs="Times New Roman"/>
          <w:smallCaps/>
          <w:sz w:val="22"/>
          <w:szCs w:val="22"/>
        </w:rPr>
        <w:t>H</w:t>
      </w:r>
      <w:r w:rsidRPr="00166399">
        <w:rPr>
          <w:rFonts w:ascii="Century Schoolbook" w:hAnsi="Century Schoolbook" w:cs="Times New Roman"/>
          <w:sz w:val="22"/>
          <w:szCs w:val="22"/>
        </w:rPr>
        <w:t xml:space="preserve">: </w:t>
      </w:r>
      <w:r>
        <w:rPr>
          <w:rFonts w:ascii="Century Schoolbook" w:hAnsi="Century Schoolbook" w:cs="Times New Roman"/>
          <w:sz w:val="22"/>
          <w:szCs w:val="22"/>
        </w:rPr>
        <w:t xml:space="preserve">A law school, bar organization, or other related </w:t>
      </w:r>
      <w:proofErr w:type="gramStart"/>
      <w:r>
        <w:rPr>
          <w:rFonts w:ascii="Century Schoolbook" w:hAnsi="Century Schoolbook" w:cs="Times New Roman"/>
          <w:sz w:val="22"/>
          <w:szCs w:val="22"/>
        </w:rPr>
        <w:t xml:space="preserve">institution </w:t>
      </w:r>
      <w:r w:rsidRPr="00166399">
        <w:rPr>
          <w:rFonts w:ascii="Century Schoolbook" w:hAnsi="Century Schoolbook" w:cs="Times New Roman"/>
          <w:sz w:val="22"/>
          <w:szCs w:val="22"/>
        </w:rPr>
        <w:t xml:space="preserve"> </w:t>
      </w:r>
      <w:r>
        <w:rPr>
          <w:rFonts w:ascii="Century Schoolbook" w:hAnsi="Century Schoolbook" w:cs="Times New Roman"/>
          <w:sz w:val="22"/>
          <w:szCs w:val="22"/>
        </w:rPr>
        <w:t>should</w:t>
      </w:r>
      <w:proofErr w:type="gramEnd"/>
      <w:r w:rsidRPr="00166399">
        <w:rPr>
          <w:rFonts w:ascii="Century Schoolbook" w:hAnsi="Century Schoolbook" w:cs="Times New Roman"/>
          <w:sz w:val="22"/>
          <w:szCs w:val="22"/>
        </w:rPr>
        <w:t xml:space="preserve"> create an award that recognizes judges for commitment to diversity improvement.</w:t>
      </w:r>
    </w:p>
    <w:p w:rsidR="004F44B2" w:rsidRPr="00166399" w:rsidRDefault="004F44B2" w:rsidP="004F44B2">
      <w:pPr>
        <w:ind w:left="720" w:right="720"/>
        <w:contextualSpacing/>
        <w:rPr>
          <w:rFonts w:ascii="Century Schoolbook" w:hAnsi="Century Schoolbook" w:cs="Times New Roman"/>
          <w:sz w:val="22"/>
          <w:szCs w:val="22"/>
        </w:rPr>
      </w:pPr>
    </w:p>
    <w:p w:rsidR="004F44B2" w:rsidRDefault="004F44B2" w:rsidP="004F44B2">
      <w:pPr>
        <w:spacing w:line="360" w:lineRule="auto"/>
        <w:ind w:firstLine="720"/>
        <w:contextualSpacing/>
        <w:rPr>
          <w:rFonts w:ascii="Century Schoolbook" w:hAnsi="Century Schoolbook" w:cs="Times New Roman"/>
          <w:sz w:val="22"/>
          <w:szCs w:val="22"/>
        </w:rPr>
      </w:pPr>
      <w:r w:rsidRPr="00C271A7">
        <w:rPr>
          <w:rFonts w:ascii="Century Schoolbook" w:hAnsi="Century Schoolbook" w:cs="Times New Roman"/>
          <w:sz w:val="22"/>
          <w:szCs w:val="22"/>
        </w:rPr>
        <w:lastRenderedPageBreak/>
        <w:t>A prestigious recognition for promoting diversity may incentive other judges to incorporate the same practices in their courts.</w:t>
      </w:r>
      <w:r w:rsidRPr="00C271A7">
        <w:rPr>
          <w:rStyle w:val="FootnoteReference"/>
          <w:rFonts w:ascii="Century Schoolbook" w:hAnsi="Century Schoolbook" w:cs="Times New Roman"/>
          <w:sz w:val="22"/>
          <w:szCs w:val="22"/>
        </w:rPr>
        <w:footnoteReference w:id="14"/>
      </w:r>
      <w:r w:rsidRPr="00C271A7">
        <w:rPr>
          <w:rFonts w:ascii="Century Schoolbook" w:hAnsi="Century Schoolbook" w:cs="Times New Roman"/>
          <w:sz w:val="22"/>
          <w:szCs w:val="22"/>
        </w:rPr>
        <w:t xml:space="preserve"> </w:t>
      </w:r>
    </w:p>
    <w:p w:rsidR="009F1C57" w:rsidRDefault="009F1C57"/>
    <w:sectPr w:rsidR="009F1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B2" w:rsidRDefault="004F44B2" w:rsidP="004F44B2">
      <w:r>
        <w:separator/>
      </w:r>
    </w:p>
  </w:endnote>
  <w:endnote w:type="continuationSeparator" w:id="0">
    <w:p w:rsidR="004F44B2" w:rsidRDefault="004F44B2" w:rsidP="004F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B2" w:rsidRDefault="004F44B2" w:rsidP="004F44B2">
      <w:r>
        <w:separator/>
      </w:r>
    </w:p>
  </w:footnote>
  <w:footnote w:type="continuationSeparator" w:id="0">
    <w:p w:rsidR="004F44B2" w:rsidRDefault="004F44B2" w:rsidP="004F44B2">
      <w:r>
        <w:continuationSeparator/>
      </w:r>
    </w:p>
  </w:footnote>
  <w:footnote w:id="1">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The </w:t>
      </w:r>
      <w:r w:rsidRPr="003541F9">
        <w:rPr>
          <w:rFonts w:ascii="Century Schoolbook" w:hAnsi="Century Schoolbook" w:cs="Times New Roman"/>
        </w:rPr>
        <w:t xml:space="preserve">Judicial Panel on Multidistrict Litigation (JPML) is tasked with consolidating related cases so that pretrial issues can be uniformly resolved.  </w:t>
      </w:r>
      <w:r w:rsidRPr="003541F9">
        <w:rPr>
          <w:rFonts w:ascii="Century Schoolbook" w:hAnsi="Century Schoolbook"/>
          <w:i/>
        </w:rPr>
        <w:t>See</w:t>
      </w:r>
      <w:r w:rsidRPr="003541F9">
        <w:rPr>
          <w:rFonts w:ascii="Century Schoolbook" w:hAnsi="Century Schoolbook"/>
        </w:rPr>
        <w:t xml:space="preserve"> </w:t>
      </w:r>
      <w:r w:rsidRPr="003541F9">
        <w:rPr>
          <w:rFonts w:ascii="Century Schoolbook" w:hAnsi="Century Schoolbook" w:cs="Times"/>
        </w:rPr>
        <w:t>28 U.S.C. § 1407(a) (2012).</w:t>
      </w:r>
    </w:p>
  </w:footnote>
  <w:footnote w:id="2">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For example, in the </w:t>
      </w:r>
      <w:r w:rsidRPr="003541F9">
        <w:rPr>
          <w:rFonts w:ascii="Century Schoolbook" w:hAnsi="Century Schoolbook"/>
          <w:i/>
        </w:rPr>
        <w:t xml:space="preserve">Power Morcellator </w:t>
      </w:r>
      <w:r w:rsidRPr="002D52D3">
        <w:rPr>
          <w:rFonts w:ascii="Century Schoolbook" w:hAnsi="Century Schoolbook"/>
          <w:i/>
        </w:rPr>
        <w:t xml:space="preserve">Litigation </w:t>
      </w:r>
      <w:r w:rsidRPr="002D52D3">
        <w:rPr>
          <w:rFonts w:ascii="Century Schoolbook" w:hAnsi="Century Schoolbook"/>
        </w:rPr>
        <w:t>(</w:t>
      </w:r>
      <w:r w:rsidRPr="003541F9">
        <w:rPr>
          <w:rFonts w:ascii="Century Schoolbook" w:hAnsi="Century Schoolbook"/>
        </w:rPr>
        <w:t>MDL 2652</w:t>
      </w:r>
      <w:r w:rsidRPr="002D52D3">
        <w:rPr>
          <w:rFonts w:ascii="Century Schoolbook" w:hAnsi="Century Schoolbook"/>
        </w:rPr>
        <w:t>)</w:t>
      </w:r>
      <w:r w:rsidRPr="003541F9">
        <w:rPr>
          <w:rFonts w:ascii="Century Schoolbook" w:hAnsi="Century Schoolbook"/>
          <w:i/>
        </w:rPr>
        <w:t xml:space="preserve"> </w:t>
      </w:r>
      <w:r w:rsidRPr="003541F9">
        <w:rPr>
          <w:rFonts w:ascii="Century Schoolbook" w:hAnsi="Century Schoolbook"/>
        </w:rPr>
        <w:t>Judge Vratil appointed a majority female plaintiff leadership team.</w:t>
      </w:r>
      <w:r w:rsidRPr="002D52D3">
        <w:rPr>
          <w:rFonts w:ascii="Century Schoolbook" w:hAnsi="Century Schoolbook"/>
        </w:rPr>
        <w:t xml:space="preserve"> </w:t>
      </w:r>
      <w:r w:rsidRPr="002D52D3">
        <w:rPr>
          <w:rFonts w:ascii="Century Schoolbook" w:hAnsi="Century Schoolbook"/>
          <w:i/>
        </w:rPr>
        <w:t xml:space="preserve">See supra </w:t>
      </w:r>
      <w:r w:rsidRPr="002D52D3">
        <w:rPr>
          <w:rFonts w:ascii="Century Schoolbook" w:hAnsi="Century Schoolbook"/>
        </w:rPr>
        <w:t xml:space="preserve">notes </w:t>
      </w:r>
      <w:r w:rsidRPr="003541F9">
        <w:rPr>
          <w:rFonts w:ascii="Century Schoolbook" w:hAnsi="Century Schoolbook"/>
        </w:rPr>
        <w:fldChar w:fldCharType="begin"/>
      </w:r>
      <w:r w:rsidRPr="002D52D3">
        <w:rPr>
          <w:rFonts w:ascii="Century Schoolbook" w:hAnsi="Century Schoolbook"/>
        </w:rPr>
        <w:instrText xml:space="preserve"> NOTEREF _Ref510774579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133</w:t>
      </w:r>
      <w:r w:rsidRPr="003541F9">
        <w:rPr>
          <w:rFonts w:ascii="Century Schoolbook" w:hAnsi="Century Schoolbook"/>
        </w:rPr>
        <w:fldChar w:fldCharType="end"/>
      </w:r>
      <w:r w:rsidRPr="002D52D3">
        <w:rPr>
          <w:rFonts w:ascii="Century Schoolbook" w:hAnsi="Century Schoolbook"/>
        </w:rPr>
        <w:t xml:space="preserve"> &amp; </w:t>
      </w:r>
      <w:r w:rsidRPr="003541F9">
        <w:rPr>
          <w:rFonts w:ascii="Century Schoolbook" w:hAnsi="Century Schoolbook"/>
        </w:rPr>
        <w:fldChar w:fldCharType="begin"/>
      </w:r>
      <w:r w:rsidRPr="002D52D3">
        <w:rPr>
          <w:rFonts w:ascii="Century Schoolbook" w:hAnsi="Century Schoolbook"/>
        </w:rPr>
        <w:instrText xml:space="preserve"> NOTEREF _Ref510787687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149</w:t>
      </w:r>
      <w:r w:rsidRPr="003541F9">
        <w:rPr>
          <w:rFonts w:ascii="Century Schoolbook" w:hAnsi="Century Schoolbook"/>
        </w:rPr>
        <w:fldChar w:fldCharType="end"/>
      </w:r>
      <w:r w:rsidRPr="002D52D3">
        <w:rPr>
          <w:rFonts w:ascii="Century Schoolbook" w:hAnsi="Century Schoolbook"/>
        </w:rPr>
        <w:t>.</w:t>
      </w:r>
    </w:p>
  </w:footnote>
  <w:footnote w:id="3">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rPr>
        <w:t xml:space="preserve">Coleman, </w:t>
      </w:r>
      <w:r w:rsidRPr="002D52D3">
        <w:rPr>
          <w:rFonts w:ascii="Century Schoolbook" w:hAnsi="Century Schoolbook"/>
          <w:i/>
        </w:rPr>
        <w:t xml:space="preserve">supra </w:t>
      </w:r>
      <w:r w:rsidRPr="002D52D3">
        <w:rPr>
          <w:rFonts w:ascii="Century Schoolbook" w:hAnsi="Century Schoolbook"/>
        </w:rPr>
        <w:t xml:space="preserve">note </w:t>
      </w:r>
      <w:r w:rsidRPr="003541F9">
        <w:rPr>
          <w:rFonts w:ascii="Century Schoolbook" w:hAnsi="Century Schoolbook"/>
        </w:rPr>
        <w:fldChar w:fldCharType="begin"/>
      </w:r>
      <w:r w:rsidRPr="002D52D3">
        <w:rPr>
          <w:rFonts w:ascii="Century Schoolbook" w:hAnsi="Century Schoolbook"/>
        </w:rPr>
        <w:instrText xml:space="preserve"> NOTEREF _Ref510777138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148</w:t>
      </w:r>
      <w:r w:rsidRPr="003541F9">
        <w:rPr>
          <w:rFonts w:ascii="Century Schoolbook" w:hAnsi="Century Schoolbook"/>
        </w:rPr>
        <w:fldChar w:fldCharType="end"/>
      </w:r>
      <w:r w:rsidRPr="002D52D3">
        <w:rPr>
          <w:rFonts w:ascii="Century Schoolbook" w:hAnsi="Century Schoolbook"/>
        </w:rPr>
        <w:t>, at 48.</w:t>
      </w:r>
    </w:p>
  </w:footnote>
  <w:footnote w:id="4">
    <w:p w:rsidR="004F44B2" w:rsidRPr="003541F9" w:rsidRDefault="004F44B2" w:rsidP="004F44B2">
      <w:pPr>
        <w:pStyle w:val="FootnoteText"/>
        <w:jc w:val="both"/>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w:t>
      </w:r>
      <w:r w:rsidRPr="003541F9">
        <w:rPr>
          <w:rFonts w:ascii="Century Schoolbook" w:hAnsi="Century Schoolbook"/>
        </w:rPr>
        <w:t xml:space="preserve"> Panel Judges, Judicial Panel on Multidistrict Litigation, http://www.jpml.uscourts.gov/content/panel-</w:t>
      </w:r>
      <w:r w:rsidRPr="003541F9">
        <w:t>judges (last visited Apr. 6, 2018).</w:t>
      </w:r>
      <w:r w:rsidRPr="003541F9">
        <w:rPr>
          <w:rFonts w:ascii="Century Schoolbook" w:hAnsi="Century Schoolbook"/>
        </w:rPr>
        <w:t xml:space="preserve"> </w:t>
      </w:r>
    </w:p>
  </w:footnote>
  <w:footnote w:id="5">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Coleman, </w:t>
      </w:r>
      <w:r w:rsidRPr="003541F9">
        <w:rPr>
          <w:rFonts w:ascii="Century Schoolbook" w:hAnsi="Century Schoolbook"/>
          <w:i/>
        </w:rPr>
        <w:t xml:space="preserve">supra </w:t>
      </w:r>
      <w:r w:rsidRPr="003541F9">
        <w:rPr>
          <w:rFonts w:ascii="Century Schoolbook" w:hAnsi="Century Schoolbook"/>
        </w:rPr>
        <w:t xml:space="preserve">note </w:t>
      </w:r>
      <w:r w:rsidRPr="003541F9">
        <w:rPr>
          <w:rFonts w:ascii="Century Schoolbook" w:hAnsi="Century Schoolbook"/>
        </w:rPr>
        <w:fldChar w:fldCharType="begin"/>
      </w:r>
      <w:r w:rsidRPr="003541F9">
        <w:rPr>
          <w:rFonts w:ascii="Century Schoolbook" w:hAnsi="Century Schoolbook"/>
        </w:rPr>
        <w:instrText xml:space="preserve"> NOTEREF _Ref510777138 \h  \* MERGEFORMAT </w:instrText>
      </w:r>
      <w:r w:rsidRPr="003541F9">
        <w:rPr>
          <w:rFonts w:ascii="Century Schoolbook" w:hAnsi="Century Schoolbook"/>
        </w:rPr>
      </w:r>
      <w:r w:rsidRPr="003541F9">
        <w:rPr>
          <w:rFonts w:ascii="Century Schoolbook" w:hAnsi="Century Schoolbook"/>
        </w:rPr>
        <w:fldChar w:fldCharType="separate"/>
      </w:r>
      <w:r>
        <w:rPr>
          <w:rFonts w:ascii="Century Schoolbook" w:hAnsi="Century Schoolbook"/>
        </w:rPr>
        <w:t>148</w:t>
      </w:r>
      <w:r w:rsidRPr="003541F9">
        <w:rPr>
          <w:rFonts w:ascii="Century Schoolbook" w:hAnsi="Century Schoolbook"/>
        </w:rPr>
        <w:fldChar w:fldCharType="end"/>
      </w:r>
      <w:r w:rsidRPr="003541F9">
        <w:rPr>
          <w:rFonts w:ascii="Century Schoolbook" w:hAnsi="Century Schoolbook"/>
        </w:rPr>
        <w:t xml:space="preserve">, at 48–49; </w:t>
      </w:r>
      <w:r w:rsidRPr="003541F9">
        <w:rPr>
          <w:rFonts w:ascii="Century Schoolbook" w:hAnsi="Century Schoolbook" w:cs="Times"/>
        </w:rPr>
        <w:t xml:space="preserve">Amanda </w:t>
      </w:r>
      <w:proofErr w:type="spellStart"/>
      <w:r w:rsidRPr="003541F9">
        <w:rPr>
          <w:rFonts w:ascii="Century Schoolbook" w:hAnsi="Century Schoolbook" w:cs="Times"/>
        </w:rPr>
        <w:t>Bronstad</w:t>
      </w:r>
      <w:proofErr w:type="spellEnd"/>
      <w:r w:rsidRPr="003541F9">
        <w:rPr>
          <w:rFonts w:ascii="Century Schoolbook" w:hAnsi="Century Schoolbook" w:cs="Times"/>
        </w:rPr>
        <w:t xml:space="preserve">, </w:t>
      </w:r>
      <w:r w:rsidRPr="003541F9">
        <w:rPr>
          <w:rFonts w:ascii="Century Schoolbook" w:hAnsi="Century Schoolbook" w:cs="Times"/>
          <w:i/>
        </w:rPr>
        <w:t>Meet the Next Generation of MDL Judges</w:t>
      </w:r>
      <w:r w:rsidRPr="003541F9">
        <w:rPr>
          <w:rFonts w:ascii="Century Schoolbook" w:hAnsi="Century Schoolbook" w:cs="Times"/>
        </w:rPr>
        <w:t xml:space="preserve">, </w:t>
      </w:r>
      <w:r w:rsidRPr="003541F9">
        <w:rPr>
          <w:rFonts w:ascii="Century Schoolbook" w:hAnsi="Century Schoolbook" w:cs="Times"/>
          <w:smallCaps/>
        </w:rPr>
        <w:t>Nat’l L. J.</w:t>
      </w:r>
      <w:r w:rsidRPr="003541F9">
        <w:rPr>
          <w:rFonts w:ascii="Century Schoolbook" w:hAnsi="Century Schoolbook" w:cs="Times"/>
        </w:rPr>
        <w:t xml:space="preserve"> (Apr. 20, 2017), http://www.nationallawjournal.com/legaltimes/id=1202784167417/Meet-the- Next-Generation-of-MDL-Judges.  </w:t>
      </w:r>
    </w:p>
  </w:footnote>
  <w:footnote w:id="6">
    <w:p w:rsidR="004F44B2" w:rsidRPr="003541F9" w:rsidRDefault="004F44B2" w:rsidP="004F44B2">
      <w:pPr>
        <w:widowControl w:val="0"/>
        <w:autoSpaceDE w:val="0"/>
        <w:autoSpaceDN w:val="0"/>
        <w:adjustRightInd w:val="0"/>
        <w:jc w:val="both"/>
        <w:rPr>
          <w:rFonts w:ascii="Century Schoolbook" w:hAnsi="Century Schoolbook" w:cs="Times"/>
          <w:sz w:val="20"/>
          <w:szCs w:val="20"/>
        </w:rPr>
      </w:pPr>
      <w:r w:rsidRPr="003541F9">
        <w:rPr>
          <w:rStyle w:val="FootnoteReference"/>
          <w:rFonts w:ascii="Century Schoolbook" w:hAnsi="Century Schoolbook"/>
          <w:sz w:val="20"/>
          <w:szCs w:val="20"/>
        </w:rPr>
        <w:footnoteRef/>
      </w:r>
      <w:r w:rsidRPr="003541F9">
        <w:rPr>
          <w:rFonts w:ascii="Century Schoolbook" w:hAnsi="Century Schoolbook"/>
          <w:sz w:val="20"/>
          <w:szCs w:val="20"/>
        </w:rPr>
        <w:t xml:space="preserve"> </w:t>
      </w:r>
      <w:r w:rsidRPr="003541F9">
        <w:rPr>
          <w:rFonts w:ascii="Century Schoolbook" w:hAnsi="Century Schoolbook" w:cs="Times"/>
          <w:sz w:val="20"/>
          <w:szCs w:val="20"/>
        </w:rPr>
        <w:t xml:space="preserve">For example, the JPML recently assigned the actions in the </w:t>
      </w:r>
      <w:r w:rsidRPr="003541F9">
        <w:rPr>
          <w:rFonts w:ascii="Century Schoolbook" w:hAnsi="Century Schoolbook" w:cs="Times"/>
          <w:i/>
          <w:sz w:val="20"/>
          <w:szCs w:val="20"/>
        </w:rPr>
        <w:t xml:space="preserve">Stryker </w:t>
      </w:r>
      <w:proofErr w:type="spellStart"/>
      <w:r w:rsidRPr="003541F9">
        <w:rPr>
          <w:rFonts w:ascii="Century Schoolbook" w:hAnsi="Century Schoolbook" w:cs="Times"/>
          <w:i/>
          <w:sz w:val="20"/>
          <w:szCs w:val="20"/>
        </w:rPr>
        <w:t>Orthopaedics</w:t>
      </w:r>
      <w:proofErr w:type="spellEnd"/>
      <w:r w:rsidRPr="003541F9">
        <w:rPr>
          <w:rFonts w:ascii="Century Schoolbook" w:hAnsi="Century Schoolbook" w:cs="Times"/>
          <w:i/>
          <w:sz w:val="20"/>
          <w:szCs w:val="20"/>
        </w:rPr>
        <w:t xml:space="preserve"> Femoral Head Products Liability Litigation </w:t>
      </w:r>
      <w:r w:rsidRPr="003541F9">
        <w:rPr>
          <w:rFonts w:ascii="Century Schoolbook" w:hAnsi="Century Schoolbook" w:cs="Times"/>
          <w:sz w:val="20"/>
          <w:szCs w:val="20"/>
        </w:rPr>
        <w:t xml:space="preserve">to Judge </w:t>
      </w:r>
      <w:proofErr w:type="spellStart"/>
      <w:r w:rsidRPr="003541F9">
        <w:rPr>
          <w:rFonts w:ascii="Century Schoolbook" w:hAnsi="Century Schoolbook" w:cs="Times"/>
          <w:sz w:val="20"/>
          <w:szCs w:val="20"/>
        </w:rPr>
        <w:t>Talwani</w:t>
      </w:r>
      <w:proofErr w:type="spellEnd"/>
      <w:r w:rsidRPr="003541F9">
        <w:rPr>
          <w:rFonts w:ascii="Century Schoolbook" w:hAnsi="Century Schoolbook" w:cs="Times"/>
          <w:sz w:val="20"/>
          <w:szCs w:val="20"/>
        </w:rPr>
        <w:t xml:space="preserve">, who the JPML acknowledged, had not “yet had an opportunity to preside over an MDL docket.” </w:t>
      </w:r>
      <w:r w:rsidRPr="003541F9">
        <w:rPr>
          <w:rFonts w:ascii="Century Schoolbook" w:hAnsi="Century Schoolbook" w:cs="Times"/>
          <w:i/>
          <w:sz w:val="20"/>
          <w:szCs w:val="20"/>
        </w:rPr>
        <w:t xml:space="preserve">See </w:t>
      </w:r>
      <w:r w:rsidRPr="002D52D3">
        <w:rPr>
          <w:rFonts w:ascii="Century Schoolbook" w:hAnsi="Century Schoolbook" w:cs="Times"/>
          <w:sz w:val="20"/>
          <w:szCs w:val="20"/>
        </w:rPr>
        <w:t xml:space="preserve">Transfer Order, </w:t>
      </w:r>
      <w:r w:rsidRPr="003541F9">
        <w:rPr>
          <w:rFonts w:ascii="Century Schoolbook" w:hAnsi="Century Schoolbook" w:cs="Times"/>
          <w:i/>
          <w:sz w:val="20"/>
          <w:szCs w:val="20"/>
        </w:rPr>
        <w:t xml:space="preserve">In </w:t>
      </w:r>
      <w:r w:rsidRPr="002D52D3">
        <w:rPr>
          <w:rFonts w:ascii="Century Schoolbook" w:hAnsi="Century Schoolbook" w:cs="Times"/>
          <w:i/>
          <w:sz w:val="20"/>
          <w:szCs w:val="20"/>
        </w:rPr>
        <w:t>re</w:t>
      </w:r>
      <w:r w:rsidRPr="003541F9">
        <w:rPr>
          <w:rFonts w:ascii="Century Schoolbook" w:hAnsi="Century Schoolbook" w:cs="Times"/>
          <w:i/>
          <w:sz w:val="20"/>
          <w:szCs w:val="20"/>
        </w:rPr>
        <w:t xml:space="preserve"> </w:t>
      </w:r>
      <w:r w:rsidRPr="003541F9">
        <w:rPr>
          <w:rFonts w:ascii="Century Schoolbook" w:hAnsi="Century Schoolbook" w:cs="Times"/>
          <w:sz w:val="20"/>
          <w:szCs w:val="20"/>
        </w:rPr>
        <w:t xml:space="preserve">Stryker </w:t>
      </w:r>
      <w:proofErr w:type="spellStart"/>
      <w:r w:rsidRPr="003541F9">
        <w:rPr>
          <w:rFonts w:ascii="Century Schoolbook" w:hAnsi="Century Schoolbook" w:cs="Times"/>
          <w:sz w:val="20"/>
          <w:szCs w:val="20"/>
        </w:rPr>
        <w:t>Orthopaedics</w:t>
      </w:r>
      <w:proofErr w:type="spellEnd"/>
      <w:r w:rsidRPr="003541F9">
        <w:rPr>
          <w:rFonts w:ascii="Century Schoolbook" w:hAnsi="Century Schoolbook" w:cs="Times"/>
          <w:sz w:val="20"/>
          <w:szCs w:val="20"/>
        </w:rPr>
        <w:t xml:space="preserve"> LFIT V40 Femoral Head Prods. </w:t>
      </w:r>
      <w:proofErr w:type="spellStart"/>
      <w:r w:rsidRPr="002D52D3">
        <w:rPr>
          <w:rFonts w:ascii="Century Schoolbook" w:hAnsi="Century Schoolbook" w:cs="Times"/>
          <w:sz w:val="20"/>
          <w:szCs w:val="20"/>
        </w:rPr>
        <w:t>Liab</w:t>
      </w:r>
      <w:proofErr w:type="spellEnd"/>
      <w:r w:rsidRPr="002D52D3">
        <w:rPr>
          <w:rFonts w:ascii="Century Schoolbook" w:hAnsi="Century Schoolbook" w:cs="Times"/>
          <w:sz w:val="20"/>
          <w:szCs w:val="20"/>
        </w:rPr>
        <w:t xml:space="preserve">. </w:t>
      </w:r>
      <w:proofErr w:type="spellStart"/>
      <w:proofErr w:type="gramStart"/>
      <w:r w:rsidRPr="003541F9">
        <w:rPr>
          <w:rFonts w:ascii="Century Schoolbook" w:hAnsi="Century Schoolbook" w:cs="Times"/>
          <w:sz w:val="20"/>
          <w:szCs w:val="20"/>
        </w:rPr>
        <w:t>Litig</w:t>
      </w:r>
      <w:proofErr w:type="spellEnd"/>
      <w:r w:rsidRPr="002D52D3">
        <w:rPr>
          <w:rFonts w:ascii="Century Schoolbook" w:hAnsi="Century Schoolbook" w:cs="Times"/>
          <w:sz w:val="20"/>
          <w:szCs w:val="20"/>
        </w:rPr>
        <w:t>.</w:t>
      </w:r>
      <w:r w:rsidRPr="003541F9">
        <w:rPr>
          <w:rFonts w:ascii="Century Schoolbook" w:hAnsi="Century Schoolbook" w:cs="Times"/>
          <w:sz w:val="20"/>
          <w:szCs w:val="20"/>
        </w:rPr>
        <w:t>,</w:t>
      </w:r>
      <w:proofErr w:type="gramEnd"/>
      <w:r w:rsidRPr="002D52D3">
        <w:rPr>
          <w:rFonts w:ascii="Century Schoolbook" w:hAnsi="Century Schoolbook" w:cs="Times"/>
          <w:sz w:val="20"/>
          <w:szCs w:val="20"/>
        </w:rPr>
        <w:t xml:space="preserve"> </w:t>
      </w:r>
      <w:r w:rsidRPr="003541F9">
        <w:rPr>
          <w:rFonts w:ascii="Century Schoolbook" w:hAnsi="Century Schoolbook" w:cs="Times"/>
          <w:sz w:val="20"/>
          <w:szCs w:val="20"/>
        </w:rPr>
        <w:t xml:space="preserve">MDL No. 2768 </w:t>
      </w:r>
      <w:r w:rsidRPr="002D52D3">
        <w:rPr>
          <w:rFonts w:ascii="Century Schoolbook" w:hAnsi="Century Schoolbook" w:cs="Times"/>
          <w:sz w:val="20"/>
          <w:szCs w:val="20"/>
        </w:rPr>
        <w:t xml:space="preserve">(J.P.M.L. Apr. </w:t>
      </w:r>
      <w:r w:rsidRPr="003541F9">
        <w:rPr>
          <w:rFonts w:ascii="Century Schoolbook" w:hAnsi="Century Schoolbook" w:cs="Times"/>
          <w:sz w:val="20"/>
          <w:szCs w:val="20"/>
        </w:rPr>
        <w:t>5, 2017</w:t>
      </w:r>
      <w:r w:rsidRPr="002D52D3">
        <w:rPr>
          <w:rFonts w:ascii="Century Schoolbook" w:hAnsi="Century Schoolbook" w:cs="Times"/>
          <w:sz w:val="20"/>
          <w:szCs w:val="20"/>
        </w:rPr>
        <w:t>),</w:t>
      </w:r>
      <w:r w:rsidRPr="003541F9">
        <w:rPr>
          <w:rFonts w:ascii="Century Schoolbook" w:hAnsi="Century Schoolbook" w:cs="Times"/>
          <w:sz w:val="20"/>
          <w:szCs w:val="20"/>
        </w:rPr>
        <w:t xml:space="preserve">  </w:t>
      </w:r>
      <w:r w:rsidRPr="003541F9">
        <w:rPr>
          <w:rFonts w:ascii="Century Schoolbook" w:hAnsi="Century Schoolbook"/>
          <w:sz w:val="20"/>
          <w:szCs w:val="20"/>
        </w:rPr>
        <w:t>http://www.jpml.uscourts.gov/sites/jpml/files/MDL-2768-Initial_Transfer-03-17.pdf</w:t>
      </w:r>
      <w:r w:rsidRPr="002D52D3">
        <w:rPr>
          <w:rFonts w:ascii="Century Schoolbook" w:hAnsi="Century Schoolbook" w:cs="Times"/>
          <w:sz w:val="20"/>
          <w:szCs w:val="20"/>
        </w:rPr>
        <w:t>.</w:t>
      </w:r>
    </w:p>
    <w:p w:rsidR="004F44B2" w:rsidRPr="003541F9" w:rsidRDefault="004F44B2" w:rsidP="004F44B2">
      <w:pPr>
        <w:widowControl w:val="0"/>
        <w:autoSpaceDE w:val="0"/>
        <w:autoSpaceDN w:val="0"/>
        <w:adjustRightInd w:val="0"/>
        <w:jc w:val="both"/>
        <w:rPr>
          <w:rFonts w:ascii="Century Schoolbook" w:hAnsi="Century Schoolbook" w:cs="Times"/>
          <w:sz w:val="20"/>
          <w:szCs w:val="20"/>
        </w:rPr>
      </w:pPr>
      <w:r w:rsidRPr="003541F9">
        <w:rPr>
          <w:rFonts w:ascii="Century Schoolbook" w:hAnsi="Century Schoolbook" w:cs="Times"/>
          <w:sz w:val="20"/>
          <w:szCs w:val="20"/>
        </w:rPr>
        <w:t>In 2016, the JPML transferred cases to 15 first-time MDL judges.</w:t>
      </w:r>
      <w:r w:rsidRPr="002D52D3">
        <w:rPr>
          <w:rFonts w:ascii="Century Schoolbook" w:hAnsi="Century Schoolbook" w:cs="Times"/>
          <w:sz w:val="20"/>
          <w:szCs w:val="20"/>
        </w:rPr>
        <w:t xml:space="preserve"> </w:t>
      </w:r>
      <w:r w:rsidRPr="003541F9">
        <w:rPr>
          <w:rFonts w:ascii="Century Schoolbook" w:hAnsi="Century Schoolbook" w:cs="Times"/>
          <w:i/>
          <w:sz w:val="20"/>
          <w:szCs w:val="20"/>
        </w:rPr>
        <w:t xml:space="preserve">See </w:t>
      </w:r>
      <w:r w:rsidRPr="002D52D3">
        <w:rPr>
          <w:rFonts w:ascii="Century Schoolbook" w:hAnsi="Century Schoolbook" w:cs="Times"/>
          <w:sz w:val="20"/>
          <w:szCs w:val="20"/>
        </w:rPr>
        <w:t xml:space="preserve">Amanda </w:t>
      </w:r>
      <w:proofErr w:type="spellStart"/>
      <w:r w:rsidRPr="002D52D3">
        <w:rPr>
          <w:rFonts w:ascii="Century Schoolbook" w:hAnsi="Century Schoolbook" w:cs="Times"/>
          <w:sz w:val="20"/>
          <w:szCs w:val="20"/>
        </w:rPr>
        <w:t>Bronstad</w:t>
      </w:r>
      <w:proofErr w:type="spellEnd"/>
      <w:r w:rsidRPr="002D52D3">
        <w:rPr>
          <w:rFonts w:ascii="Century Schoolbook" w:hAnsi="Century Schoolbook" w:cs="Times"/>
          <w:sz w:val="20"/>
          <w:szCs w:val="20"/>
        </w:rPr>
        <w:t xml:space="preserve">, </w:t>
      </w:r>
      <w:r w:rsidRPr="002D52D3">
        <w:rPr>
          <w:rFonts w:ascii="Century Schoolbook" w:hAnsi="Century Schoolbook" w:cs="Times"/>
          <w:i/>
          <w:sz w:val="20"/>
          <w:szCs w:val="20"/>
        </w:rPr>
        <w:t>Rookie Judges Start to Wrangle MDL Dockets</w:t>
      </w:r>
      <w:r w:rsidRPr="002D52D3">
        <w:rPr>
          <w:rFonts w:ascii="Century Schoolbook" w:hAnsi="Century Schoolbook" w:cs="Times"/>
          <w:sz w:val="20"/>
          <w:szCs w:val="20"/>
        </w:rPr>
        <w:t xml:space="preserve">, </w:t>
      </w:r>
      <w:r w:rsidRPr="002D52D3">
        <w:rPr>
          <w:rFonts w:ascii="Century Schoolbook" w:hAnsi="Century Schoolbook" w:cs="Times"/>
          <w:smallCaps/>
          <w:sz w:val="20"/>
          <w:szCs w:val="20"/>
        </w:rPr>
        <w:t>Nat’l L. J. (</w:t>
      </w:r>
      <w:r w:rsidRPr="002D52D3">
        <w:rPr>
          <w:rFonts w:ascii="Century Schoolbook" w:hAnsi="Century Schoolbook" w:cs="Times"/>
          <w:sz w:val="20"/>
          <w:szCs w:val="20"/>
        </w:rPr>
        <w:t>Aug. 20, 2017),</w:t>
      </w:r>
      <w:r w:rsidRPr="002D52D3">
        <w:rPr>
          <w:rFonts w:ascii="Century Schoolbook" w:hAnsi="Century Schoolbook" w:cs="Times"/>
          <w:i/>
          <w:sz w:val="20"/>
          <w:szCs w:val="20"/>
        </w:rPr>
        <w:t xml:space="preserve"> </w:t>
      </w:r>
      <w:r w:rsidRPr="003541F9">
        <w:rPr>
          <w:rFonts w:ascii="Century Schoolbook" w:hAnsi="Century Schoolbook"/>
          <w:sz w:val="20"/>
          <w:szCs w:val="20"/>
        </w:rPr>
        <w:t>https://www.law.com/nationallawjournal/almID/1202784158624/.</w:t>
      </w:r>
      <w:r w:rsidRPr="003541F9">
        <w:rPr>
          <w:rFonts w:ascii="Century Schoolbook" w:hAnsi="Century Schoolbook" w:cs="Times"/>
          <w:i/>
          <w:sz w:val="20"/>
          <w:szCs w:val="20"/>
        </w:rPr>
        <w:t xml:space="preserve">  </w:t>
      </w:r>
      <w:r w:rsidRPr="003541F9">
        <w:rPr>
          <w:rFonts w:ascii="Century Schoolbook" w:hAnsi="Century Schoolbook" w:cs="Times"/>
          <w:sz w:val="20"/>
          <w:szCs w:val="20"/>
        </w:rPr>
        <w:t xml:space="preserve"> </w:t>
      </w:r>
    </w:p>
    <w:p w:rsidR="004F44B2" w:rsidRPr="003541F9" w:rsidRDefault="004F44B2" w:rsidP="004F44B2">
      <w:pPr>
        <w:pStyle w:val="FootnoteText"/>
        <w:rPr>
          <w:rFonts w:ascii="Century Schoolbook" w:hAnsi="Century Schoolbook"/>
        </w:rPr>
      </w:pPr>
    </w:p>
  </w:footnote>
  <w:footnote w:id="7">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Hon. John G. Heyburn II &amp; Francis E. McGovern, </w:t>
      </w:r>
      <w:r w:rsidRPr="002D52D3">
        <w:rPr>
          <w:rFonts w:ascii="Century Schoolbook" w:hAnsi="Century Schoolbook"/>
          <w:i/>
        </w:rPr>
        <w:t>Evaluating and Improving the MDL Process</w:t>
      </w:r>
      <w:r w:rsidRPr="002D52D3">
        <w:rPr>
          <w:rFonts w:ascii="Century Schoolbook" w:hAnsi="Century Schoolbook"/>
        </w:rPr>
        <w:t xml:space="preserve">, 32 </w:t>
      </w:r>
      <w:proofErr w:type="spellStart"/>
      <w:r w:rsidRPr="002D52D3">
        <w:rPr>
          <w:rFonts w:ascii="Century Schoolbook" w:hAnsi="Century Schoolbook"/>
          <w:smallCaps/>
        </w:rPr>
        <w:t>Litig</w:t>
      </w:r>
      <w:proofErr w:type="spellEnd"/>
      <w:r w:rsidRPr="002D52D3">
        <w:rPr>
          <w:rFonts w:ascii="Century Schoolbook" w:hAnsi="Century Schoolbook"/>
          <w:smallCaps/>
        </w:rPr>
        <w:t>. 26, 30 (2014),</w:t>
      </w:r>
      <w:r w:rsidRPr="003541F9">
        <w:rPr>
          <w:rFonts w:ascii="Century Schoolbook" w:hAnsi="Century Schoolbook"/>
          <w:i/>
        </w:rPr>
        <w:t xml:space="preserve"> </w:t>
      </w:r>
      <w:r w:rsidRPr="003541F9">
        <w:rPr>
          <w:rFonts w:ascii="Century Schoolbook" w:hAnsi="Century Schoolbook"/>
        </w:rPr>
        <w:t>https://law.duke.edu/sites/default/files/centers/judicialstudies/mdl2014/Evaluating_MDL_Process.pd.</w:t>
      </w:r>
      <w:r w:rsidRPr="003541F9">
        <w:rPr>
          <w:rFonts w:ascii="Century Schoolbook" w:hAnsi="Century Schoolbook"/>
          <w:i/>
        </w:rPr>
        <w:t xml:space="preserve">  </w:t>
      </w:r>
    </w:p>
  </w:footnote>
  <w:footnote w:id="8">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2D52D3">
        <w:rPr>
          <w:rFonts w:ascii="Century Schoolbook" w:hAnsi="Century Schoolbook" w:cs="Times New Roman"/>
          <w:smallCaps/>
        </w:rPr>
        <w:t>The Unfinished Agenda</w:t>
      </w:r>
      <w:r w:rsidRPr="002D52D3">
        <w:rPr>
          <w:rFonts w:ascii="Century Schoolbook" w:hAnsi="Century Schoolbook" w:cs="Times New Roman"/>
        </w:rPr>
        <w:t xml:space="preserve">,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_Ref510626610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rPr>
        <w:t>115</w:t>
      </w:r>
      <w:r w:rsidRPr="003541F9">
        <w:rPr>
          <w:rFonts w:ascii="Century Schoolbook" w:hAnsi="Century Schoolbook" w:cs="Times New Roman"/>
        </w:rPr>
        <w:fldChar w:fldCharType="end"/>
      </w:r>
      <w:r w:rsidRPr="003541F9">
        <w:rPr>
          <w:rFonts w:ascii="Century Schoolbook" w:hAnsi="Century Schoolbook" w:cs="Times New Roman"/>
        </w:rPr>
        <w:t xml:space="preserve">; </w:t>
      </w:r>
      <w:r w:rsidRPr="003541F9">
        <w:rPr>
          <w:rFonts w:ascii="Century Schoolbook" w:hAnsi="Century Schoolbook" w:cs="Times New Roman"/>
          <w:i/>
          <w:iCs/>
        </w:rPr>
        <w:t xml:space="preserve">see also </w:t>
      </w:r>
      <w:r w:rsidRPr="003541F9">
        <w:rPr>
          <w:rFonts w:ascii="Century Schoolbook" w:hAnsi="Century Schoolbook" w:cs="Times New Roman"/>
        </w:rPr>
        <w:t xml:space="preserve">Deborah L. Rhode, </w:t>
      </w:r>
      <w:r w:rsidRPr="003541F9">
        <w:rPr>
          <w:rFonts w:ascii="Century Schoolbook" w:hAnsi="Century Schoolbook" w:cs="Times New Roman"/>
          <w:i/>
        </w:rPr>
        <w:t>Gender and the Profession: The No-Problem Problem</w:t>
      </w:r>
      <w:r w:rsidRPr="003541F9">
        <w:rPr>
          <w:rFonts w:ascii="Century Schoolbook" w:hAnsi="Century Schoolbook" w:cs="Times New Roman"/>
        </w:rPr>
        <w:t xml:space="preserve">, </w:t>
      </w:r>
      <w:r w:rsidRPr="002D52D3">
        <w:rPr>
          <w:rFonts w:ascii="Century Schoolbook" w:hAnsi="Century Schoolbook" w:cs="Times New Roman"/>
        </w:rPr>
        <w:t xml:space="preserve">30 </w:t>
      </w:r>
      <w:r w:rsidRPr="003541F9">
        <w:rPr>
          <w:rFonts w:ascii="Century Schoolbook" w:hAnsi="Century Schoolbook" w:cs="Times New Roman"/>
          <w:iCs/>
          <w:smallCaps/>
        </w:rPr>
        <w:t xml:space="preserve">Hofstra L. Rev. </w:t>
      </w:r>
      <w:r w:rsidRPr="002D52D3">
        <w:rPr>
          <w:rFonts w:ascii="Century Schoolbook" w:hAnsi="Century Schoolbook" w:cs="Times New Roman"/>
        </w:rPr>
        <w:t>1001</w:t>
      </w:r>
      <w:r w:rsidRPr="003541F9">
        <w:rPr>
          <w:rFonts w:ascii="Century Schoolbook" w:hAnsi="Century Schoolbook" w:cs="Times New Roman"/>
        </w:rPr>
        <w:t xml:space="preserve"> (2002).</w:t>
      </w:r>
    </w:p>
  </w:footnote>
  <w:footnote w:id="9">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cs="Times New Roman"/>
          <w:i/>
        </w:rPr>
        <w:t>See</w:t>
      </w:r>
      <w:r w:rsidRPr="003541F9">
        <w:rPr>
          <w:rFonts w:ascii="Century Schoolbook" w:hAnsi="Century Schoolbook" w:cs="Times New Roman"/>
        </w:rPr>
        <w:t xml:space="preserve"> Stefanie K. Johnson, </w:t>
      </w:r>
      <w:r w:rsidRPr="003541F9">
        <w:rPr>
          <w:rFonts w:ascii="Century Schoolbook" w:hAnsi="Century Schoolbook" w:cs="Times New Roman"/>
          <w:i/>
        </w:rPr>
        <w:t>What 11 CEOs Have Learned About Championing Diversity</w:t>
      </w:r>
      <w:r w:rsidRPr="003541F9">
        <w:rPr>
          <w:rFonts w:ascii="Century Schoolbook" w:hAnsi="Century Schoolbook" w:cs="Times New Roman"/>
        </w:rPr>
        <w:t xml:space="preserve">, </w:t>
      </w:r>
      <w:proofErr w:type="spellStart"/>
      <w:r w:rsidRPr="002D52D3">
        <w:rPr>
          <w:rFonts w:ascii="Century Schoolbook" w:hAnsi="Century Schoolbook" w:cs="Times New Roman"/>
          <w:smallCaps/>
        </w:rPr>
        <w:t>Harv</w:t>
      </w:r>
      <w:proofErr w:type="spellEnd"/>
      <w:r w:rsidRPr="002D52D3">
        <w:rPr>
          <w:rFonts w:ascii="Century Schoolbook" w:hAnsi="Century Schoolbook" w:cs="Times New Roman"/>
          <w:smallCaps/>
        </w:rPr>
        <w:t xml:space="preserve">. Bus. Rev. </w:t>
      </w:r>
      <w:r w:rsidRPr="003541F9">
        <w:rPr>
          <w:rFonts w:ascii="Century Schoolbook" w:hAnsi="Century Schoolbook" w:cs="Times New Roman"/>
        </w:rPr>
        <w:t xml:space="preserve">(Aug. 17, 2017), hbr.org/2017/08/what-11-ceos-have-learned-about-championing-diversity); </w:t>
      </w:r>
      <w:r w:rsidRPr="002D52D3">
        <w:rPr>
          <w:rFonts w:ascii="Century Schoolbook" w:hAnsi="Century Schoolbook" w:cs="Times New Roman"/>
          <w:i/>
        </w:rPr>
        <w:t>see also</w:t>
      </w:r>
      <w:r w:rsidRPr="003541F9">
        <w:rPr>
          <w:rFonts w:ascii="Century Schoolbook" w:hAnsi="Century Schoolbook" w:cs="Times New Roman"/>
        </w:rPr>
        <w:t xml:space="preserve"> </w:t>
      </w:r>
      <w:r w:rsidRPr="002D52D3">
        <w:rPr>
          <w:rFonts w:ascii="Century Schoolbook" w:hAnsi="Century Schoolbook" w:cs="Times New Roman"/>
          <w:smallCaps/>
        </w:rPr>
        <w:t xml:space="preserve">NALP 2016 Diversity, </w:t>
      </w:r>
      <w:r w:rsidRPr="002D52D3">
        <w:rPr>
          <w:rFonts w:ascii="Century Schoolbook" w:hAnsi="Century Schoolbook" w:cs="Times New Roman"/>
          <w:i/>
        </w:rPr>
        <w:t xml:space="preserve">supra </w:t>
      </w:r>
      <w:r w:rsidRPr="002D52D3">
        <w:rPr>
          <w:rFonts w:ascii="Century Schoolbook" w:hAnsi="Century Schoolbook" w:cs="Times New Roman"/>
        </w:rPr>
        <w:t xml:space="preserve">note </w:t>
      </w:r>
      <w:r w:rsidRPr="003541F9">
        <w:rPr>
          <w:rFonts w:ascii="Century Schoolbook" w:hAnsi="Century Schoolbook" w:cs="Times New Roman"/>
        </w:rPr>
        <w:fldChar w:fldCharType="begin"/>
      </w:r>
      <w:r w:rsidRPr="002D52D3">
        <w:rPr>
          <w:rFonts w:ascii="Century Schoolbook" w:hAnsi="Century Schoolbook" w:cs="Times New Roman"/>
        </w:rPr>
        <w:instrText xml:space="preserve"> NOTEREF _Ref509175185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rPr>
        <w:t>10</w:t>
      </w:r>
      <w:r w:rsidRPr="003541F9">
        <w:rPr>
          <w:rFonts w:ascii="Century Schoolbook" w:hAnsi="Century Schoolbook" w:cs="Times New Roman"/>
        </w:rPr>
        <w:fldChar w:fldCharType="end"/>
      </w:r>
      <w:r w:rsidRPr="003541F9">
        <w:rPr>
          <w:rFonts w:ascii="Century Schoolbook" w:hAnsi="Century Schoolbook" w:cs="Times New Roman"/>
        </w:rPr>
        <w:t xml:space="preserve"> (noting that representation of women and black/African-American lawyers remains below 2009 pre-recession levels).</w:t>
      </w:r>
    </w:p>
  </w:footnote>
  <w:footnote w:id="10">
    <w:p w:rsidR="004F44B2" w:rsidRPr="003541F9" w:rsidRDefault="004F44B2" w:rsidP="004F44B2">
      <w:pPr>
        <w:pStyle w:val="FootnoteText"/>
        <w:rPr>
          <w:rFonts w:ascii="Century Schoolbook" w:hAnsi="Century Schoolbook" w:cs="Times New Roman"/>
          <w:lang w:val="es-ES"/>
        </w:rPr>
      </w:pPr>
      <w:r w:rsidRPr="003541F9">
        <w:rPr>
          <w:rStyle w:val="FootnoteReference"/>
          <w:rFonts w:ascii="Century Schoolbook" w:hAnsi="Century Schoolbook" w:cs="Times New Roman"/>
        </w:rPr>
        <w:footnoteRef/>
      </w:r>
      <w:r w:rsidRPr="003541F9">
        <w:rPr>
          <w:rFonts w:ascii="Century Schoolbook" w:hAnsi="Century Schoolbook" w:cs="Times New Roman"/>
          <w:lang w:val="es-ES"/>
        </w:rPr>
        <w:t xml:space="preserve"> Carter, </w:t>
      </w:r>
      <w:r w:rsidRPr="003541F9">
        <w:rPr>
          <w:rFonts w:ascii="Century Schoolbook" w:hAnsi="Century Schoolbook" w:cs="Times New Roman"/>
          <w:i/>
          <w:lang w:val="es-ES"/>
        </w:rPr>
        <w:t xml:space="preserve">supra </w:t>
      </w:r>
      <w:r w:rsidRPr="003541F9">
        <w:rPr>
          <w:rFonts w:ascii="Century Schoolbook" w:hAnsi="Century Schoolbook" w:cs="Times New Roman"/>
          <w:lang w:val="es-ES"/>
        </w:rPr>
        <w:t xml:space="preserve">note </w:t>
      </w:r>
      <w:r w:rsidRPr="003541F9">
        <w:rPr>
          <w:rFonts w:ascii="Century Schoolbook" w:hAnsi="Century Schoolbook" w:cs="Times New Roman"/>
        </w:rPr>
        <w:fldChar w:fldCharType="begin"/>
      </w:r>
      <w:r w:rsidRPr="003541F9">
        <w:rPr>
          <w:rFonts w:ascii="Century Schoolbook" w:hAnsi="Century Schoolbook" w:cs="Times New Roman"/>
          <w:lang w:val="es-ES"/>
        </w:rPr>
        <w:instrText xml:space="preserve"> NOTEREF _Ref510805703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lang w:val="es-ES"/>
        </w:rPr>
        <w:t>39</w:t>
      </w:r>
      <w:r w:rsidRPr="003541F9">
        <w:rPr>
          <w:rFonts w:ascii="Century Schoolbook" w:hAnsi="Century Schoolbook" w:cs="Times New Roman"/>
        </w:rPr>
        <w:fldChar w:fldCharType="end"/>
      </w:r>
      <w:r w:rsidRPr="003541F9">
        <w:rPr>
          <w:rFonts w:ascii="Century Schoolbook" w:hAnsi="Century Schoolbook" w:cs="Times New Roman"/>
          <w:lang w:val="es-ES"/>
        </w:rPr>
        <w:t>.</w:t>
      </w:r>
    </w:p>
  </w:footnote>
  <w:footnote w:id="11">
    <w:p w:rsidR="004F44B2" w:rsidRPr="003541F9" w:rsidRDefault="004F44B2" w:rsidP="004F44B2">
      <w:pPr>
        <w:pStyle w:val="FootnoteText"/>
        <w:rPr>
          <w:rFonts w:ascii="Century Schoolbook" w:hAnsi="Century Schoolbook" w:cs="Times New Roman"/>
          <w:lang w:val="es-ES"/>
        </w:rPr>
      </w:pPr>
      <w:r w:rsidRPr="003541F9">
        <w:rPr>
          <w:rStyle w:val="FootnoteReference"/>
          <w:rFonts w:ascii="Century Schoolbook" w:hAnsi="Century Schoolbook" w:cs="Times New Roman"/>
        </w:rPr>
        <w:footnoteRef/>
      </w:r>
      <w:r w:rsidRPr="003541F9">
        <w:rPr>
          <w:rFonts w:ascii="Century Schoolbook" w:hAnsi="Century Schoolbook" w:cs="Times New Roman"/>
          <w:lang w:val="es-ES"/>
        </w:rPr>
        <w:t xml:space="preserve"> </w:t>
      </w:r>
      <w:proofErr w:type="spellStart"/>
      <w:r w:rsidRPr="003541F9">
        <w:rPr>
          <w:rFonts w:ascii="Century Schoolbook" w:hAnsi="Century Schoolbook" w:cs="Times New Roman"/>
          <w:lang w:val="es-ES"/>
        </w:rPr>
        <w:t>Spela</w:t>
      </w:r>
      <w:proofErr w:type="spellEnd"/>
      <w:r w:rsidRPr="003541F9">
        <w:rPr>
          <w:rFonts w:ascii="Century Schoolbook" w:hAnsi="Century Schoolbook" w:cs="Times New Roman"/>
          <w:lang w:val="es-ES"/>
        </w:rPr>
        <w:t xml:space="preserve"> </w:t>
      </w:r>
      <w:proofErr w:type="spellStart"/>
      <w:r w:rsidRPr="003541F9">
        <w:rPr>
          <w:rFonts w:ascii="Century Schoolbook" w:hAnsi="Century Schoolbook" w:cs="Times New Roman"/>
          <w:lang w:val="es-ES"/>
        </w:rPr>
        <w:t>Trefault</w:t>
      </w:r>
      <w:proofErr w:type="spellEnd"/>
      <w:r w:rsidRPr="003541F9">
        <w:rPr>
          <w:rFonts w:ascii="Century Schoolbook" w:hAnsi="Century Schoolbook" w:cs="Times New Roman"/>
          <w:lang w:val="es-ES"/>
        </w:rPr>
        <w:t xml:space="preserve"> et al., </w:t>
      </w:r>
      <w:r w:rsidRPr="003541F9">
        <w:rPr>
          <w:rFonts w:ascii="Century Schoolbook" w:hAnsi="Century Schoolbook" w:cs="Times New Roman"/>
          <w:i/>
          <w:lang w:val="es-ES"/>
        </w:rPr>
        <w:t xml:space="preserve">supra </w:t>
      </w:r>
      <w:r w:rsidRPr="003541F9">
        <w:rPr>
          <w:rFonts w:ascii="Century Schoolbook" w:hAnsi="Century Schoolbook" w:cs="Times New Roman"/>
          <w:lang w:val="es-ES"/>
        </w:rPr>
        <w:t xml:space="preserve">note </w:t>
      </w:r>
      <w:r w:rsidRPr="003541F9">
        <w:rPr>
          <w:rFonts w:ascii="Century Schoolbook" w:hAnsi="Century Schoolbook" w:cs="Times New Roman"/>
        </w:rPr>
        <w:fldChar w:fldCharType="begin"/>
      </w:r>
      <w:r w:rsidRPr="003541F9">
        <w:rPr>
          <w:rFonts w:ascii="Century Schoolbook" w:hAnsi="Century Schoolbook" w:cs="Times New Roman"/>
          <w:lang w:val="es-ES"/>
        </w:rPr>
        <w:instrText xml:space="preserve"> NOTEREF _Ref510707064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lang w:val="es-ES"/>
        </w:rPr>
        <w:t>27</w:t>
      </w:r>
      <w:r w:rsidRPr="003541F9">
        <w:rPr>
          <w:rFonts w:ascii="Century Schoolbook" w:hAnsi="Century Schoolbook" w:cs="Times New Roman"/>
        </w:rPr>
        <w:fldChar w:fldCharType="end"/>
      </w:r>
      <w:r w:rsidRPr="003541F9">
        <w:rPr>
          <w:rFonts w:ascii="Century Schoolbook" w:hAnsi="Century Schoolbook" w:cs="Times New Roman"/>
          <w:lang w:val="es-ES"/>
        </w:rPr>
        <w:t>, at 1.</w:t>
      </w:r>
    </w:p>
  </w:footnote>
  <w:footnote w:id="12">
    <w:p w:rsidR="004F44B2" w:rsidRPr="003541F9" w:rsidRDefault="004F44B2" w:rsidP="004F44B2">
      <w:pPr>
        <w:pStyle w:val="FootnoteText"/>
        <w:rPr>
          <w:rFonts w:ascii="Century Schoolbook" w:hAnsi="Century Schoolbook"/>
          <w:lang w:val="es-ES"/>
        </w:rPr>
      </w:pPr>
      <w:r w:rsidRPr="003541F9">
        <w:rPr>
          <w:rStyle w:val="FootnoteReference"/>
          <w:rFonts w:ascii="Century Schoolbook" w:hAnsi="Century Schoolbook"/>
        </w:rPr>
        <w:footnoteRef/>
      </w:r>
      <w:r w:rsidRPr="003541F9">
        <w:rPr>
          <w:rFonts w:ascii="Century Schoolbook" w:hAnsi="Century Schoolbook"/>
          <w:lang w:val="es-ES"/>
        </w:rPr>
        <w:t xml:space="preserve"> </w:t>
      </w:r>
      <w:proofErr w:type="spellStart"/>
      <w:r w:rsidRPr="003541F9">
        <w:rPr>
          <w:rFonts w:ascii="Century Schoolbook" w:hAnsi="Century Schoolbook" w:cs="Times New Roman"/>
          <w:smallCaps/>
          <w:lang w:val="es-ES"/>
        </w:rPr>
        <w:t>Alvaré</w:t>
      </w:r>
      <w:proofErr w:type="spellEnd"/>
      <w:r w:rsidRPr="003541F9">
        <w:rPr>
          <w:rFonts w:ascii="Century Schoolbook" w:hAnsi="Century Schoolbook" w:cs="Times New Roman"/>
          <w:smallCaps/>
          <w:lang w:val="es-ES"/>
        </w:rPr>
        <w:t xml:space="preserve">, </w:t>
      </w:r>
      <w:r w:rsidRPr="003541F9">
        <w:rPr>
          <w:rFonts w:ascii="Century Schoolbook" w:hAnsi="Century Schoolbook" w:cs="Times New Roman"/>
          <w:i/>
          <w:iCs/>
          <w:lang w:val="es-ES"/>
        </w:rPr>
        <w:t xml:space="preserve">supra </w:t>
      </w:r>
      <w:r w:rsidRPr="003541F9">
        <w:rPr>
          <w:rFonts w:ascii="Century Schoolbook" w:hAnsi="Century Schoolbook" w:cs="Times New Roman"/>
          <w:iCs/>
          <w:lang w:val="es-ES"/>
        </w:rPr>
        <w:t>note</w:t>
      </w:r>
      <w:r w:rsidRPr="003541F9">
        <w:rPr>
          <w:rFonts w:ascii="Century Schoolbook" w:hAnsi="Century Schoolbook" w:cs="Times New Roman"/>
          <w:iCs/>
          <w:smallCaps/>
          <w:lang w:val="es-ES"/>
        </w:rPr>
        <w:t xml:space="preserve"> </w:t>
      </w:r>
      <w:r w:rsidRPr="003541F9">
        <w:rPr>
          <w:rFonts w:ascii="Century Schoolbook" w:hAnsi="Century Schoolbook" w:cs="Times New Roman"/>
          <w:iCs/>
          <w:smallCaps/>
        </w:rPr>
        <w:fldChar w:fldCharType="begin"/>
      </w:r>
      <w:r w:rsidRPr="003541F9">
        <w:rPr>
          <w:rFonts w:ascii="Century Schoolbook" w:hAnsi="Century Schoolbook" w:cs="Times New Roman"/>
          <w:iCs/>
          <w:smallCaps/>
          <w:lang w:val="es-ES"/>
        </w:rPr>
        <w:instrText xml:space="preserve"> NOTEREF _Ref510778153 \h  \* MERGEFORMAT </w:instrText>
      </w:r>
      <w:r w:rsidRPr="003541F9">
        <w:rPr>
          <w:rFonts w:ascii="Century Schoolbook" w:hAnsi="Century Schoolbook" w:cs="Times New Roman"/>
          <w:iCs/>
          <w:smallCaps/>
        </w:rPr>
      </w:r>
      <w:r w:rsidRPr="003541F9">
        <w:rPr>
          <w:rFonts w:ascii="Century Schoolbook" w:hAnsi="Century Schoolbook" w:cs="Times New Roman"/>
          <w:iCs/>
          <w:smallCaps/>
        </w:rPr>
        <w:fldChar w:fldCharType="separate"/>
      </w:r>
      <w:r>
        <w:rPr>
          <w:rFonts w:ascii="Century Schoolbook" w:hAnsi="Century Schoolbook" w:cs="Times New Roman"/>
          <w:iCs/>
          <w:smallCaps/>
          <w:lang w:val="es-ES"/>
        </w:rPr>
        <w:t>50</w:t>
      </w:r>
      <w:r w:rsidRPr="003541F9">
        <w:rPr>
          <w:rFonts w:ascii="Century Schoolbook" w:hAnsi="Century Schoolbook" w:cs="Times New Roman"/>
          <w:iCs/>
          <w:smallCaps/>
        </w:rPr>
        <w:fldChar w:fldCharType="end"/>
      </w:r>
      <w:r w:rsidRPr="003541F9">
        <w:rPr>
          <w:rFonts w:ascii="Century Schoolbook" w:hAnsi="Century Schoolbook" w:cs="Times New Roman"/>
          <w:lang w:val="es-ES"/>
        </w:rPr>
        <w:t xml:space="preserve">, at 4; </w:t>
      </w:r>
      <w:proofErr w:type="spellStart"/>
      <w:r w:rsidRPr="003541F9">
        <w:rPr>
          <w:rFonts w:ascii="Century Schoolbook" w:hAnsi="Century Schoolbook" w:cs="Times New Roman"/>
          <w:lang w:val="es-ES"/>
        </w:rPr>
        <w:t>Coe</w:t>
      </w:r>
      <w:proofErr w:type="spellEnd"/>
      <w:r w:rsidRPr="003541F9">
        <w:rPr>
          <w:rFonts w:ascii="Century Schoolbook" w:hAnsi="Century Schoolbook" w:cs="Times New Roman"/>
          <w:lang w:val="es-ES"/>
        </w:rPr>
        <w:t xml:space="preserve">, </w:t>
      </w:r>
      <w:r w:rsidRPr="003541F9">
        <w:rPr>
          <w:rFonts w:ascii="Century Schoolbook" w:hAnsi="Century Schoolbook" w:cs="Times New Roman"/>
          <w:i/>
          <w:lang w:val="es-ES"/>
        </w:rPr>
        <w:t xml:space="preserve">supra </w:t>
      </w:r>
      <w:r w:rsidRPr="003541F9">
        <w:rPr>
          <w:rFonts w:ascii="Century Schoolbook" w:hAnsi="Century Schoolbook" w:cs="Times New Roman"/>
          <w:lang w:val="es-ES"/>
        </w:rPr>
        <w:t xml:space="preserve">note </w:t>
      </w:r>
      <w:r w:rsidRPr="003541F9">
        <w:rPr>
          <w:rFonts w:ascii="Century Schoolbook" w:hAnsi="Century Schoolbook" w:cs="Times New Roman"/>
        </w:rPr>
        <w:fldChar w:fldCharType="begin"/>
      </w:r>
      <w:r w:rsidRPr="003541F9">
        <w:rPr>
          <w:rFonts w:ascii="Century Schoolbook" w:hAnsi="Century Schoolbook" w:cs="Times New Roman"/>
          <w:lang w:val="es-ES"/>
        </w:rPr>
        <w:instrText xml:space="preserve"> NOTEREF _Ref510622792 \h  \* MERGEFORMAT </w:instrText>
      </w:r>
      <w:r w:rsidRPr="003541F9">
        <w:rPr>
          <w:rFonts w:ascii="Century Schoolbook" w:hAnsi="Century Schoolbook" w:cs="Times New Roman"/>
        </w:rPr>
      </w:r>
      <w:r w:rsidRPr="003541F9">
        <w:rPr>
          <w:rFonts w:ascii="Century Schoolbook" w:hAnsi="Century Schoolbook" w:cs="Times New Roman"/>
        </w:rPr>
        <w:fldChar w:fldCharType="separate"/>
      </w:r>
      <w:r>
        <w:rPr>
          <w:rFonts w:ascii="Century Schoolbook" w:hAnsi="Century Schoolbook" w:cs="Times New Roman"/>
          <w:lang w:val="es-ES"/>
        </w:rPr>
        <w:t>92</w:t>
      </w:r>
      <w:r w:rsidRPr="003541F9">
        <w:rPr>
          <w:rFonts w:ascii="Century Schoolbook" w:hAnsi="Century Schoolbook" w:cs="Times New Roman"/>
        </w:rPr>
        <w:fldChar w:fldCharType="end"/>
      </w:r>
      <w:r w:rsidRPr="003541F9">
        <w:rPr>
          <w:rFonts w:ascii="Century Schoolbook" w:hAnsi="Century Schoolbook" w:cs="Times New Roman"/>
          <w:lang w:val="es-ES"/>
        </w:rPr>
        <w:t>.</w:t>
      </w:r>
    </w:p>
  </w:footnote>
  <w:footnote w:id="13">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 xml:space="preserve">See </w:t>
      </w:r>
      <w:r w:rsidRPr="003541F9">
        <w:rPr>
          <w:rFonts w:ascii="Century Schoolbook" w:hAnsi="Century Schoolbook" w:cs="Times New Roman"/>
        </w:rPr>
        <w:t>DIA report (“The first and foremost reason articulated by many was a lack of effective mentoring relationships, not only in learning legal skills but on other issues that have an impact on one’s ability to advance . . . .”).</w:t>
      </w:r>
    </w:p>
  </w:footnote>
  <w:footnote w:id="14">
    <w:p w:rsidR="004F44B2" w:rsidRPr="003541F9" w:rsidRDefault="004F44B2" w:rsidP="004F44B2">
      <w:pPr>
        <w:pStyle w:val="FootnoteText"/>
        <w:rPr>
          <w:rFonts w:ascii="Century Schoolbook" w:hAnsi="Century Schoolbook"/>
        </w:rPr>
      </w:pPr>
      <w:r w:rsidRPr="003541F9">
        <w:rPr>
          <w:rStyle w:val="FootnoteReference"/>
          <w:rFonts w:ascii="Century Schoolbook" w:hAnsi="Century Schoolbook"/>
        </w:rPr>
        <w:footnoteRef/>
      </w:r>
      <w:r w:rsidRPr="003541F9">
        <w:rPr>
          <w:rFonts w:ascii="Century Schoolbook" w:hAnsi="Century Schoolbook"/>
        </w:rPr>
        <w:t xml:space="preserve"> </w:t>
      </w:r>
      <w:r w:rsidRPr="003541F9">
        <w:rPr>
          <w:rFonts w:ascii="Century Schoolbook" w:hAnsi="Century Schoolbook"/>
          <w:i/>
        </w:rPr>
        <w:t>See e.g.</w:t>
      </w:r>
      <w:r w:rsidRPr="002D52D3">
        <w:rPr>
          <w:rFonts w:ascii="Century Schoolbook" w:hAnsi="Century Schoolbook"/>
        </w:rPr>
        <w:t xml:space="preserve">, </w:t>
      </w:r>
      <w:r w:rsidRPr="002D52D3">
        <w:rPr>
          <w:rFonts w:ascii="Century Schoolbook" w:hAnsi="Century Schoolbook"/>
          <w:i/>
        </w:rPr>
        <w:t>Diversity Leadership Award</w:t>
      </w:r>
      <w:r w:rsidRPr="002D52D3">
        <w:rPr>
          <w:rFonts w:ascii="Century Schoolbook" w:hAnsi="Century Schoolbook"/>
        </w:rPr>
        <w:t xml:space="preserve">, </w:t>
      </w:r>
      <w:r w:rsidRPr="002D52D3">
        <w:rPr>
          <w:rFonts w:ascii="Century Schoolbook" w:hAnsi="Century Schoolbook"/>
          <w:smallCaps/>
        </w:rPr>
        <w:t xml:space="preserve">Am. Bar </w:t>
      </w:r>
      <w:proofErr w:type="spellStart"/>
      <w:r w:rsidRPr="002D52D3">
        <w:rPr>
          <w:rFonts w:ascii="Century Schoolbook" w:hAnsi="Century Schoolbook"/>
          <w:smallCaps/>
        </w:rPr>
        <w:t>Ass’n</w:t>
      </w:r>
      <w:proofErr w:type="spellEnd"/>
      <w:r w:rsidRPr="002D52D3">
        <w:rPr>
          <w:rFonts w:ascii="Century Schoolbook" w:hAnsi="Century Schoolbook"/>
        </w:rPr>
        <w:t>, https://www.americanbar.org/groups/litigation/diversity_initiatives/award.html (last visited Apr. 6,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1156"/>
    <w:multiLevelType w:val="hybridMultilevel"/>
    <w:tmpl w:val="5A307080"/>
    <w:lvl w:ilvl="0" w:tplc="67A0C6AA">
      <w:start w:val="3"/>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B2"/>
    <w:rsid w:val="004F44B2"/>
    <w:rsid w:val="009F1C57"/>
    <w:rsid w:val="00C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6B09-0B04-4700-9755-F3F61F1A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B2"/>
    <w:pPr>
      <w:spacing w:after="0" w:line="240" w:lineRule="auto"/>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B2"/>
    <w:pPr>
      <w:ind w:left="720"/>
      <w:contextualSpacing/>
    </w:pPr>
  </w:style>
  <w:style w:type="paragraph" w:styleId="FootnoteText">
    <w:name w:val="footnote text"/>
    <w:basedOn w:val="Normal"/>
    <w:link w:val="FootnoteTextChar"/>
    <w:uiPriority w:val="99"/>
    <w:unhideWhenUsed/>
    <w:qFormat/>
    <w:rsid w:val="004F44B2"/>
    <w:rPr>
      <w:sz w:val="20"/>
      <w:szCs w:val="20"/>
    </w:rPr>
  </w:style>
  <w:style w:type="character" w:customStyle="1" w:styleId="FootnoteTextChar">
    <w:name w:val="Footnote Text Char"/>
    <w:basedOn w:val="DefaultParagraphFont"/>
    <w:link w:val="FootnoteText"/>
    <w:uiPriority w:val="99"/>
    <w:rsid w:val="004F44B2"/>
    <w:rPr>
      <w:rFonts w:ascii="Times" w:hAnsi="Times"/>
      <w:sz w:val="20"/>
      <w:szCs w:val="20"/>
    </w:rPr>
  </w:style>
  <w:style w:type="character" w:styleId="FootnoteReference">
    <w:name w:val="footnote reference"/>
    <w:basedOn w:val="DefaultParagraphFont"/>
    <w:uiPriority w:val="99"/>
    <w:unhideWhenUsed/>
    <w:qFormat/>
    <w:rsid w:val="004F44B2"/>
    <w:rPr>
      <w:vertAlign w:val="superscript"/>
    </w:rPr>
  </w:style>
  <w:style w:type="character" w:styleId="CommentReference">
    <w:name w:val="annotation reference"/>
    <w:basedOn w:val="DefaultParagraphFont"/>
    <w:uiPriority w:val="99"/>
    <w:semiHidden/>
    <w:unhideWhenUsed/>
    <w:rsid w:val="004F44B2"/>
    <w:rPr>
      <w:sz w:val="16"/>
      <w:szCs w:val="16"/>
    </w:rPr>
  </w:style>
  <w:style w:type="paragraph" w:styleId="CommentText">
    <w:name w:val="annotation text"/>
    <w:basedOn w:val="Normal"/>
    <w:link w:val="CommentTextChar"/>
    <w:uiPriority w:val="99"/>
    <w:semiHidden/>
    <w:unhideWhenUsed/>
    <w:rsid w:val="004F44B2"/>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F44B2"/>
    <w:rPr>
      <w:sz w:val="20"/>
      <w:szCs w:val="20"/>
    </w:rPr>
  </w:style>
  <w:style w:type="paragraph" w:styleId="BalloonText">
    <w:name w:val="Balloon Text"/>
    <w:basedOn w:val="Normal"/>
    <w:link w:val="BalloonTextChar"/>
    <w:uiPriority w:val="99"/>
    <w:semiHidden/>
    <w:unhideWhenUsed/>
    <w:rsid w:val="004F4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Rabiej, J.D.</dc:creator>
  <cp:keywords/>
  <dc:description/>
  <cp:lastModifiedBy>Lora Beth Farmer</cp:lastModifiedBy>
  <cp:revision>2</cp:revision>
  <dcterms:created xsi:type="dcterms:W3CDTF">2018-05-14T04:33:00Z</dcterms:created>
  <dcterms:modified xsi:type="dcterms:W3CDTF">2018-05-14T04:33:00Z</dcterms:modified>
</cp:coreProperties>
</file>