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074" w:rsidRPr="00D34854" w:rsidRDefault="00366074" w:rsidP="00366074">
      <w:pPr>
        <w:pStyle w:val="NoSpacing"/>
        <w:jc w:val="center"/>
        <w:rPr>
          <w:rFonts w:ascii="Times New Roman" w:hAnsi="Times New Roman" w:cs="Times New Roman"/>
          <w:b/>
          <w:sz w:val="36"/>
        </w:rPr>
      </w:pPr>
      <w:r w:rsidRPr="00D34854">
        <w:rPr>
          <w:rFonts w:ascii="Times New Roman" w:hAnsi="Times New Roman" w:cs="Times New Roman"/>
          <w:b/>
          <w:sz w:val="36"/>
        </w:rPr>
        <w:t>2019 AJEI Summit | November 14-17, 2019</w:t>
      </w:r>
    </w:p>
    <w:p w:rsidR="00366074" w:rsidRPr="00D34854" w:rsidRDefault="00366074" w:rsidP="00366074">
      <w:pPr>
        <w:pStyle w:val="NoSpacing"/>
        <w:jc w:val="center"/>
        <w:rPr>
          <w:rFonts w:ascii="Times New Roman" w:hAnsi="Times New Roman" w:cs="Times New Roman"/>
          <w:b/>
          <w:sz w:val="28"/>
        </w:rPr>
      </w:pPr>
      <w:r w:rsidRPr="00D34854">
        <w:rPr>
          <w:rFonts w:ascii="Times New Roman" w:hAnsi="Times New Roman" w:cs="Times New Roman"/>
          <w:b/>
          <w:sz w:val="28"/>
        </w:rPr>
        <w:t>Grand Hyatt Washington</w:t>
      </w:r>
    </w:p>
    <w:p w:rsidR="00366074" w:rsidRPr="00D34854" w:rsidRDefault="00366074" w:rsidP="00366074">
      <w:pPr>
        <w:pStyle w:val="NoSpacing"/>
        <w:jc w:val="center"/>
        <w:rPr>
          <w:rFonts w:ascii="Times New Roman" w:hAnsi="Times New Roman" w:cs="Times New Roman"/>
          <w:b/>
          <w:sz w:val="28"/>
        </w:rPr>
      </w:pPr>
      <w:r w:rsidRPr="00D34854">
        <w:rPr>
          <w:rFonts w:ascii="Times New Roman" w:hAnsi="Times New Roman" w:cs="Times New Roman"/>
          <w:b/>
          <w:sz w:val="28"/>
        </w:rPr>
        <w:t>Washington, DC</w:t>
      </w:r>
    </w:p>
    <w:p w:rsidR="00366074" w:rsidRPr="00D34854" w:rsidRDefault="00366074" w:rsidP="00592E96">
      <w:pPr>
        <w:jc w:val="center"/>
        <w:rPr>
          <w:b/>
          <w:bCs/>
          <w:sz w:val="28"/>
          <w:szCs w:val="28"/>
        </w:rPr>
      </w:pPr>
    </w:p>
    <w:p w:rsidR="00366074" w:rsidRPr="00D34854" w:rsidRDefault="00366074" w:rsidP="00366074">
      <w:pPr>
        <w:spacing w:after="0"/>
        <w:jc w:val="center"/>
        <w:rPr>
          <w:b/>
          <w:bCs/>
          <w:sz w:val="32"/>
          <w:szCs w:val="32"/>
        </w:rPr>
      </w:pPr>
      <w:r w:rsidRPr="00D34854">
        <w:rPr>
          <w:b/>
          <w:bCs/>
          <w:sz w:val="32"/>
          <w:szCs w:val="32"/>
        </w:rPr>
        <w:t>Has Chevron run out of gas? and other good questions:</w:t>
      </w:r>
    </w:p>
    <w:p w:rsidR="00366074" w:rsidRPr="00D34854" w:rsidRDefault="00366074" w:rsidP="00366074">
      <w:pPr>
        <w:jc w:val="center"/>
        <w:rPr>
          <w:b/>
          <w:bCs/>
          <w:sz w:val="32"/>
          <w:szCs w:val="32"/>
        </w:rPr>
      </w:pPr>
      <w:r w:rsidRPr="00D34854">
        <w:rPr>
          <w:b/>
          <w:bCs/>
          <w:sz w:val="32"/>
          <w:szCs w:val="32"/>
        </w:rPr>
        <w:t xml:space="preserve"> Judging the administrative estate in 2019</w:t>
      </w:r>
    </w:p>
    <w:p w:rsidR="00366074" w:rsidRPr="00D34854" w:rsidRDefault="00366074" w:rsidP="00366074">
      <w:pPr>
        <w:jc w:val="center"/>
        <w:rPr>
          <w:b/>
          <w:bCs/>
          <w:sz w:val="28"/>
          <w:szCs w:val="28"/>
        </w:rPr>
      </w:pPr>
      <w:r w:rsidRPr="00D34854">
        <w:rPr>
          <w:b/>
          <w:bCs/>
          <w:sz w:val="28"/>
          <w:szCs w:val="28"/>
        </w:rPr>
        <w:t>Sunday</w:t>
      </w:r>
      <w:r w:rsidR="000A63A2" w:rsidRPr="00D34854">
        <w:rPr>
          <w:b/>
          <w:bCs/>
          <w:sz w:val="28"/>
          <w:szCs w:val="28"/>
        </w:rPr>
        <w:t>,</w:t>
      </w:r>
      <w:r w:rsidRPr="00D34854">
        <w:rPr>
          <w:b/>
          <w:bCs/>
          <w:sz w:val="28"/>
          <w:szCs w:val="28"/>
        </w:rPr>
        <w:t xml:space="preserve"> November 17, 2019 </w:t>
      </w:r>
    </w:p>
    <w:p w:rsidR="00366074" w:rsidRPr="00D34854" w:rsidRDefault="00366074" w:rsidP="00366074">
      <w:pPr>
        <w:jc w:val="center"/>
        <w:rPr>
          <w:b/>
          <w:bCs/>
          <w:sz w:val="28"/>
          <w:szCs w:val="28"/>
        </w:rPr>
      </w:pPr>
      <w:r w:rsidRPr="00D34854">
        <w:rPr>
          <w:b/>
          <w:bCs/>
          <w:sz w:val="28"/>
          <w:szCs w:val="28"/>
        </w:rPr>
        <w:t>8:45 am to 9</w:t>
      </w:r>
      <w:r w:rsidR="002704C9">
        <w:rPr>
          <w:b/>
          <w:bCs/>
          <w:sz w:val="28"/>
          <w:szCs w:val="28"/>
        </w:rPr>
        <w:t>:</w:t>
      </w:r>
      <w:bookmarkStart w:id="0" w:name="_GoBack"/>
      <w:bookmarkEnd w:id="0"/>
      <w:r w:rsidRPr="00D34854">
        <w:rPr>
          <w:b/>
          <w:bCs/>
          <w:sz w:val="28"/>
          <w:szCs w:val="28"/>
        </w:rPr>
        <w:t>45 am</w:t>
      </w:r>
    </w:p>
    <w:p w:rsidR="00366074" w:rsidRPr="00D34854" w:rsidRDefault="00366074" w:rsidP="00592E96">
      <w:pPr>
        <w:jc w:val="center"/>
        <w:rPr>
          <w:rFonts w:ascii="Calisto MT" w:hAnsi="Calisto MT"/>
          <w:b/>
          <w:bCs/>
          <w:sz w:val="28"/>
          <w:szCs w:val="28"/>
        </w:rPr>
      </w:pPr>
    </w:p>
    <w:p w:rsidR="006A7495" w:rsidRPr="00D34854" w:rsidRDefault="00592E96" w:rsidP="006A7495">
      <w:pPr>
        <w:rPr>
          <w:rFonts w:ascii="Calisto MT" w:hAnsi="Calisto MT"/>
        </w:rPr>
      </w:pPr>
      <w:r w:rsidRPr="00D34854">
        <w:rPr>
          <w:rFonts w:ascii="Calisto MT" w:hAnsi="Calisto MT"/>
        </w:rPr>
        <w:t>Panelists:</w:t>
      </w:r>
      <w:r w:rsidRPr="00D34854">
        <w:rPr>
          <w:rFonts w:ascii="Calisto MT" w:hAnsi="Calisto MT"/>
        </w:rPr>
        <w:tab/>
        <w:t>Hon. Geoffrey G. Slaughter, Indiana Supreme Court</w:t>
      </w:r>
    </w:p>
    <w:p w:rsidR="00592E96" w:rsidRPr="00D34854" w:rsidRDefault="00592E96" w:rsidP="006A7495">
      <w:pPr>
        <w:rPr>
          <w:rFonts w:ascii="Calisto MT" w:hAnsi="Calisto MT"/>
        </w:rPr>
      </w:pPr>
      <w:r w:rsidRPr="00D34854">
        <w:rPr>
          <w:rFonts w:ascii="Calisto MT" w:hAnsi="Calisto MT"/>
        </w:rPr>
        <w:tab/>
      </w:r>
      <w:r w:rsidRPr="00D34854">
        <w:rPr>
          <w:rFonts w:ascii="Calisto MT" w:hAnsi="Calisto MT"/>
        </w:rPr>
        <w:tab/>
        <w:t>Erin Murphy</w:t>
      </w:r>
      <w:r w:rsidR="00847459" w:rsidRPr="00D34854">
        <w:rPr>
          <w:rFonts w:ascii="Calisto MT" w:hAnsi="Calisto MT"/>
        </w:rPr>
        <w:t>, Kirkland Ellis</w:t>
      </w:r>
    </w:p>
    <w:p w:rsidR="00592E96" w:rsidRPr="00D34854" w:rsidRDefault="00592E96" w:rsidP="006A7495">
      <w:pPr>
        <w:rPr>
          <w:rFonts w:ascii="Calisto MT" w:hAnsi="Calisto MT"/>
        </w:rPr>
      </w:pPr>
      <w:r w:rsidRPr="00D34854">
        <w:rPr>
          <w:rFonts w:ascii="Calisto MT" w:hAnsi="Calisto MT"/>
        </w:rPr>
        <w:tab/>
      </w:r>
      <w:r w:rsidRPr="00D34854">
        <w:rPr>
          <w:rFonts w:ascii="Calisto MT" w:hAnsi="Calisto MT"/>
        </w:rPr>
        <w:tab/>
        <w:t>Donald Verrilli</w:t>
      </w:r>
      <w:r w:rsidR="00847459" w:rsidRPr="00D34854">
        <w:rPr>
          <w:rFonts w:ascii="Calisto MT" w:hAnsi="Calisto MT"/>
        </w:rPr>
        <w:t>, Munger, Tolles &amp; Olson</w:t>
      </w:r>
    </w:p>
    <w:p w:rsidR="001568C5" w:rsidRPr="00D34854" w:rsidRDefault="00592E96" w:rsidP="001568C5">
      <w:pPr>
        <w:rPr>
          <w:rFonts w:ascii="Calisto MT" w:hAnsi="Calisto MT"/>
        </w:rPr>
      </w:pPr>
      <w:r w:rsidRPr="00D34854">
        <w:rPr>
          <w:rFonts w:ascii="Calisto MT" w:hAnsi="Calisto MT"/>
        </w:rPr>
        <w:t>Moderator:</w:t>
      </w:r>
      <w:r w:rsidR="001F51EE" w:rsidRPr="00D34854">
        <w:rPr>
          <w:rFonts w:ascii="Calisto MT" w:hAnsi="Calisto MT"/>
        </w:rPr>
        <w:t>-</w:t>
      </w:r>
      <w:r w:rsidRPr="00D34854">
        <w:rPr>
          <w:rFonts w:ascii="Calisto MT" w:hAnsi="Calisto MT"/>
        </w:rPr>
        <w:t>Tillman Breckenridge</w:t>
      </w:r>
      <w:r w:rsidR="00821609" w:rsidRPr="00D34854">
        <w:rPr>
          <w:rFonts w:ascii="Calisto MT" w:hAnsi="Calisto MT"/>
        </w:rPr>
        <w:t>, Pierce Bainbridge</w:t>
      </w:r>
    </w:p>
    <w:p w:rsidR="001568C5" w:rsidRPr="00D34854" w:rsidRDefault="001568C5" w:rsidP="001568C5">
      <w:pPr>
        <w:jc w:val="center"/>
        <w:rPr>
          <w:rFonts w:ascii="Calisto MT" w:hAnsi="Calisto MT"/>
          <w:i/>
        </w:rPr>
      </w:pPr>
    </w:p>
    <w:p w:rsidR="001568C5" w:rsidRPr="00D34854" w:rsidRDefault="00082B6F" w:rsidP="001568C5">
      <w:pPr>
        <w:jc w:val="center"/>
        <w:rPr>
          <w:rFonts w:ascii="Calisto MT" w:hAnsi="Calisto MT"/>
          <w:i/>
        </w:rPr>
      </w:pPr>
      <w:r w:rsidRPr="00D34854">
        <w:rPr>
          <w:rFonts w:ascii="Calisto MT" w:hAnsi="Calisto MT"/>
          <w:i/>
        </w:rPr>
        <w:t>Panel Summary</w:t>
      </w:r>
    </w:p>
    <w:p w:rsidR="006A7495" w:rsidRPr="00D34854" w:rsidRDefault="00847459" w:rsidP="00673767">
      <w:pPr>
        <w:spacing w:after="240"/>
        <w:rPr>
          <w:rFonts w:ascii="Calisto MT" w:hAnsi="Calisto MT"/>
        </w:rPr>
      </w:pPr>
      <w:r w:rsidRPr="00D34854">
        <w:rPr>
          <w:rFonts w:ascii="Calisto MT" w:hAnsi="Calisto MT"/>
        </w:rPr>
        <w:t>Administrative agencies</w:t>
      </w:r>
      <w:r w:rsidR="00A74323" w:rsidRPr="00D34854">
        <w:rPr>
          <w:rFonts w:ascii="Calisto MT" w:hAnsi="Calisto MT"/>
        </w:rPr>
        <w:t>, including administrative tribunals,</w:t>
      </w:r>
      <w:r w:rsidRPr="00D34854">
        <w:rPr>
          <w:rFonts w:ascii="Calisto MT" w:hAnsi="Calisto MT"/>
        </w:rPr>
        <w:t xml:space="preserve"> perform crucial role</w:t>
      </w:r>
      <w:r w:rsidR="00082B6F" w:rsidRPr="00D34854">
        <w:rPr>
          <w:rFonts w:ascii="Calisto MT" w:hAnsi="Calisto MT"/>
        </w:rPr>
        <w:t>s</w:t>
      </w:r>
      <w:r w:rsidRPr="00D34854">
        <w:rPr>
          <w:rFonts w:ascii="Calisto MT" w:hAnsi="Calisto MT"/>
        </w:rPr>
        <w:t xml:space="preserve"> in federal, state, and local governments.  </w:t>
      </w:r>
      <w:r w:rsidR="00A74323" w:rsidRPr="00D34854">
        <w:rPr>
          <w:rFonts w:ascii="Calisto MT" w:hAnsi="Calisto MT"/>
        </w:rPr>
        <w:t>Every day, agencies issue new regulations, publish interpretations of existing regulations, initiate enforcement actions</w:t>
      </w:r>
      <w:r w:rsidR="00366074" w:rsidRPr="00D34854">
        <w:rPr>
          <w:rFonts w:ascii="Calisto MT" w:hAnsi="Calisto MT"/>
        </w:rPr>
        <w:t xml:space="preserve"> and resolve dispute through adjudicative or quasi-adjudicative proceedings</w:t>
      </w:r>
      <w:r w:rsidR="00A74323" w:rsidRPr="00D34854">
        <w:rPr>
          <w:rFonts w:ascii="Calisto MT" w:hAnsi="Calisto MT"/>
        </w:rPr>
        <w:t>.</w:t>
      </w:r>
    </w:p>
    <w:p w:rsidR="00673767" w:rsidRPr="00D34854" w:rsidRDefault="00673767" w:rsidP="006A7495">
      <w:pPr>
        <w:rPr>
          <w:rFonts w:ascii="Calisto MT" w:hAnsi="Calisto MT"/>
          <w:b/>
          <w:bCs/>
        </w:rPr>
      </w:pPr>
      <w:r w:rsidRPr="00D34854">
        <w:rPr>
          <w:rFonts w:ascii="Calisto MT" w:hAnsi="Calisto MT"/>
          <w:b/>
          <w:bCs/>
        </w:rPr>
        <w:t>Chevron deference</w:t>
      </w:r>
    </w:p>
    <w:p w:rsidR="00A74323" w:rsidRPr="00D34854" w:rsidRDefault="00F6082F" w:rsidP="006A7495">
      <w:pPr>
        <w:rPr>
          <w:rFonts w:ascii="Calisto MT" w:hAnsi="Calisto MT"/>
        </w:rPr>
      </w:pPr>
      <w:r w:rsidRPr="00D34854">
        <w:rPr>
          <w:rFonts w:ascii="Calisto MT" w:hAnsi="Calisto MT"/>
        </w:rPr>
        <w:t>For a</w:t>
      </w:r>
      <w:r w:rsidR="00A74323" w:rsidRPr="00D34854">
        <w:rPr>
          <w:rFonts w:ascii="Calisto MT" w:hAnsi="Calisto MT"/>
        </w:rPr>
        <w:t xml:space="preserve">s long as </w:t>
      </w:r>
      <w:r w:rsidR="001F51EE" w:rsidRPr="00D34854">
        <w:rPr>
          <w:rFonts w:ascii="Calisto MT" w:hAnsi="Calisto MT"/>
        </w:rPr>
        <w:t xml:space="preserve">administrative </w:t>
      </w:r>
      <w:r w:rsidR="00A74323" w:rsidRPr="00D34854">
        <w:rPr>
          <w:rFonts w:ascii="Calisto MT" w:hAnsi="Calisto MT"/>
        </w:rPr>
        <w:t xml:space="preserve">agencies have been in existence, </w:t>
      </w:r>
      <w:r w:rsidR="00CF3F5E" w:rsidRPr="00D34854">
        <w:rPr>
          <w:rFonts w:ascii="Calisto MT" w:hAnsi="Calisto MT"/>
        </w:rPr>
        <w:t xml:space="preserve">disagreements </w:t>
      </w:r>
      <w:r w:rsidR="001F51EE" w:rsidRPr="00D34854">
        <w:rPr>
          <w:rFonts w:ascii="Calisto MT" w:hAnsi="Calisto MT"/>
        </w:rPr>
        <w:t xml:space="preserve">have arisen about </w:t>
      </w:r>
      <w:r w:rsidR="00CF3F5E" w:rsidRPr="00D34854">
        <w:rPr>
          <w:rFonts w:ascii="Calisto MT" w:hAnsi="Calisto MT"/>
        </w:rPr>
        <w:t>how much authority agencies should have</w:t>
      </w:r>
      <w:r w:rsidR="001F51EE" w:rsidRPr="00D34854">
        <w:rPr>
          <w:rFonts w:ascii="Calisto MT" w:hAnsi="Calisto MT"/>
        </w:rPr>
        <w:t xml:space="preserve"> and their relationships with the courts.  In </w:t>
      </w:r>
      <w:r w:rsidR="001F51EE" w:rsidRPr="00D34854">
        <w:rPr>
          <w:rFonts w:ascii="Calisto MT" w:hAnsi="Calisto MT"/>
          <w:i/>
        </w:rPr>
        <w:t>Chevron U.S.A., Inc. v. Natural Resources Defense Council, Inc.</w:t>
      </w:r>
      <w:r w:rsidR="001F51EE" w:rsidRPr="00D34854">
        <w:rPr>
          <w:rFonts w:ascii="Calisto MT" w:hAnsi="Calisto MT"/>
        </w:rPr>
        <w:t xml:space="preserve">, </w:t>
      </w:r>
      <w:r w:rsidR="00EB5FAE" w:rsidRPr="00D34854">
        <w:rPr>
          <w:rFonts w:ascii="Calisto MT" w:hAnsi="Calisto MT"/>
        </w:rPr>
        <w:t xml:space="preserve">467 U.S. 837, 104 S. Ct. 2778, 81 L. Ed. 2d 694 (1984), the United States Supreme Court was called upon to determine whether the Environmental Protection Agency’s construction of a federal statute was reasonable.  The Court </w:t>
      </w:r>
      <w:r w:rsidR="00DC45C9" w:rsidRPr="00D34854">
        <w:rPr>
          <w:rFonts w:ascii="Calisto MT" w:hAnsi="Calisto MT"/>
        </w:rPr>
        <w:t>stated</w:t>
      </w:r>
      <w:r w:rsidR="00EB5FAE" w:rsidRPr="00D34854">
        <w:rPr>
          <w:rFonts w:ascii="Calisto MT" w:hAnsi="Calisto MT"/>
        </w:rPr>
        <w:t xml:space="preserve"> that if a statute is “silent or ambiguous” with respect to a specific dispute, </w:t>
      </w:r>
      <w:r w:rsidR="00DC45C9" w:rsidRPr="00D34854">
        <w:rPr>
          <w:rFonts w:ascii="Calisto MT" w:hAnsi="Calisto MT"/>
        </w:rPr>
        <w:t xml:space="preserve">courts should determine “whether the agency’s answer is based on a permissible construction of the statute.”  </w:t>
      </w:r>
      <w:r w:rsidR="00DC45C9" w:rsidRPr="00D34854">
        <w:rPr>
          <w:rFonts w:ascii="Calisto MT" w:hAnsi="Calisto MT"/>
          <w:i/>
        </w:rPr>
        <w:t>Id.</w:t>
      </w:r>
      <w:r w:rsidR="00DC45C9" w:rsidRPr="00D34854">
        <w:rPr>
          <w:rFonts w:ascii="Calisto MT" w:hAnsi="Calisto MT"/>
        </w:rPr>
        <w:t xml:space="preserve"> at 843, 104 S. Ct. at 2782.</w:t>
      </w:r>
      <w:r w:rsidR="00CF3F5E" w:rsidRPr="00D34854">
        <w:rPr>
          <w:rFonts w:ascii="Calisto MT" w:hAnsi="Calisto MT"/>
        </w:rPr>
        <w:t xml:space="preserve">  The Court fu</w:t>
      </w:r>
      <w:r w:rsidR="00CE0310" w:rsidRPr="00D34854">
        <w:rPr>
          <w:rFonts w:ascii="Calisto MT" w:hAnsi="Calisto MT"/>
        </w:rPr>
        <w:t xml:space="preserve">rther explained, “a court may not substitute its own construction of a </w:t>
      </w:r>
      <w:r w:rsidR="00CE0310" w:rsidRPr="00D34854">
        <w:rPr>
          <w:rFonts w:ascii="Calisto MT" w:hAnsi="Calisto MT"/>
        </w:rPr>
        <w:lastRenderedPageBreak/>
        <w:t xml:space="preserve">statutory provision for a reasonable interpretation made by the administrator of an agency.”  </w:t>
      </w:r>
      <w:r w:rsidR="00CE0310" w:rsidRPr="00D34854">
        <w:rPr>
          <w:rFonts w:ascii="Calisto MT" w:hAnsi="Calisto MT"/>
          <w:i/>
        </w:rPr>
        <w:t>Id.</w:t>
      </w:r>
      <w:r w:rsidR="00CE0310" w:rsidRPr="00D34854">
        <w:rPr>
          <w:rFonts w:ascii="Calisto MT" w:hAnsi="Calisto MT"/>
        </w:rPr>
        <w:t xml:space="preserve"> at 844, 104 S. Ct. at 2782.</w:t>
      </w:r>
      <w:r w:rsidR="00366074" w:rsidRPr="00D34854">
        <w:rPr>
          <w:rStyle w:val="FootnoteReference"/>
          <w:rFonts w:ascii="Calisto MT" w:hAnsi="Calisto MT"/>
        </w:rPr>
        <w:footnoteReference w:id="1"/>
      </w:r>
    </w:p>
    <w:p w:rsidR="00DA6476" w:rsidRPr="00D34854" w:rsidRDefault="00DC45C9" w:rsidP="006A7495">
      <w:pPr>
        <w:rPr>
          <w:rFonts w:ascii="Calisto MT" w:hAnsi="Calisto MT"/>
        </w:rPr>
      </w:pPr>
      <w:r w:rsidRPr="00D34854">
        <w:rPr>
          <w:rFonts w:ascii="Calisto MT" w:hAnsi="Calisto MT"/>
        </w:rPr>
        <w:t xml:space="preserve">The Supreme Court subsequently applied the </w:t>
      </w:r>
      <w:r w:rsidRPr="00D34854">
        <w:rPr>
          <w:rFonts w:ascii="Calisto MT" w:hAnsi="Calisto MT"/>
          <w:i/>
        </w:rPr>
        <w:t>Chevron</w:t>
      </w:r>
      <w:r w:rsidRPr="00D34854">
        <w:rPr>
          <w:rFonts w:ascii="Calisto MT" w:hAnsi="Calisto MT"/>
        </w:rPr>
        <w:t xml:space="preserve"> doctrine of </w:t>
      </w:r>
      <w:r w:rsidR="00CE0310" w:rsidRPr="00D34854">
        <w:rPr>
          <w:rFonts w:ascii="Calisto MT" w:hAnsi="Calisto MT"/>
        </w:rPr>
        <w:t xml:space="preserve">judicial </w:t>
      </w:r>
      <w:r w:rsidRPr="00D34854">
        <w:rPr>
          <w:rFonts w:ascii="Calisto MT" w:hAnsi="Calisto MT"/>
        </w:rPr>
        <w:t xml:space="preserve">deference to administrative interpretations in other cases, including </w:t>
      </w:r>
      <w:r w:rsidRPr="00D34854">
        <w:rPr>
          <w:rFonts w:ascii="Calisto MT" w:hAnsi="Calisto MT"/>
          <w:i/>
        </w:rPr>
        <w:t>Auer v. Robbins</w:t>
      </w:r>
      <w:r w:rsidRPr="00D34854">
        <w:rPr>
          <w:rFonts w:ascii="Calisto MT" w:hAnsi="Calisto MT"/>
        </w:rPr>
        <w:t>, 519 U.S. 452, 117 S. Ct. 905, 137 L. Ed. 2d 79 (1997).</w:t>
      </w:r>
      <w:r w:rsidR="00DA6476" w:rsidRPr="00D34854">
        <w:rPr>
          <w:rFonts w:ascii="Calisto MT" w:hAnsi="Calisto MT"/>
        </w:rPr>
        <w:t xml:space="preserve">  State courts have also addressed the issue, with some choosing to implement </w:t>
      </w:r>
      <w:r w:rsidR="00CE0310" w:rsidRPr="00D34854">
        <w:rPr>
          <w:rFonts w:ascii="Calisto MT" w:hAnsi="Calisto MT"/>
        </w:rPr>
        <w:t>their own</w:t>
      </w:r>
      <w:r w:rsidR="00DA6476" w:rsidRPr="00D34854">
        <w:rPr>
          <w:rFonts w:ascii="Calisto MT" w:hAnsi="Calisto MT"/>
        </w:rPr>
        <w:t xml:space="preserve"> version of the </w:t>
      </w:r>
      <w:r w:rsidR="00DA6476" w:rsidRPr="00D34854">
        <w:rPr>
          <w:rFonts w:ascii="Calisto MT" w:hAnsi="Calisto MT"/>
          <w:i/>
        </w:rPr>
        <w:t>Chevron</w:t>
      </w:r>
      <w:r w:rsidR="00DA6476" w:rsidRPr="00D34854">
        <w:rPr>
          <w:rFonts w:ascii="Calisto MT" w:hAnsi="Calisto MT"/>
        </w:rPr>
        <w:t xml:space="preserve"> doctrine to govern state and/or local administrative agencies.</w:t>
      </w:r>
      <w:r w:rsidR="00CE0310" w:rsidRPr="00D34854">
        <w:rPr>
          <w:rFonts w:ascii="Calisto MT" w:hAnsi="Calisto MT"/>
        </w:rPr>
        <w:t xml:space="preserve">  </w:t>
      </w:r>
      <w:r w:rsidR="00CE0310" w:rsidRPr="00D34854">
        <w:rPr>
          <w:rFonts w:ascii="Calisto MT" w:hAnsi="Calisto MT"/>
          <w:i/>
        </w:rPr>
        <w:t>See, e.g.</w:t>
      </w:r>
      <w:r w:rsidR="00CE0310" w:rsidRPr="00D34854">
        <w:rPr>
          <w:rFonts w:ascii="Calisto MT" w:hAnsi="Calisto MT"/>
        </w:rPr>
        <w:t xml:space="preserve">, </w:t>
      </w:r>
      <w:r w:rsidR="00CE0310" w:rsidRPr="00D34854">
        <w:rPr>
          <w:rFonts w:ascii="Calisto MT" w:hAnsi="Calisto MT" w:cstheme="minorHAnsi"/>
          <w:i/>
        </w:rPr>
        <w:t>Moriarty v. Ind. Dep’t of Nat. Resources</w:t>
      </w:r>
      <w:r w:rsidR="00CE0310" w:rsidRPr="00D34854">
        <w:rPr>
          <w:rFonts w:ascii="Calisto MT" w:hAnsi="Calisto MT" w:cstheme="minorHAnsi"/>
        </w:rPr>
        <w:t>, 113 N.E.3d 614, 619 (Ind. 2019) (“</w:t>
      </w:r>
      <w:r w:rsidR="00CE0310" w:rsidRPr="00D34854">
        <w:rPr>
          <w:rFonts w:ascii="Calisto MT" w:hAnsi="Calisto MT" w:cs="Arial"/>
          <w:color w:val="212121"/>
        </w:rPr>
        <w:t>[a]n interpretation of a statute by an administrative agency charged with the duty of enforcing the statute is entitled to great weight, unless this interpretation would be inconsistent with the statute itself</w:t>
      </w:r>
      <w:r w:rsidR="00DB469F" w:rsidRPr="00D34854">
        <w:rPr>
          <w:rFonts w:ascii="Calisto MT" w:hAnsi="Calisto MT" w:cs="Arial"/>
          <w:color w:val="212121"/>
        </w:rPr>
        <w:t>.</w:t>
      </w:r>
      <w:r w:rsidR="00CE0310" w:rsidRPr="00D34854">
        <w:rPr>
          <w:rFonts w:ascii="Calisto MT" w:hAnsi="Calisto MT" w:cs="Arial"/>
          <w:color w:val="212121"/>
        </w:rPr>
        <w:t>”) (internal quotation omitted).</w:t>
      </w:r>
    </w:p>
    <w:p w:rsidR="00673767" w:rsidRPr="00D34854" w:rsidRDefault="00DC45C9" w:rsidP="00673767">
      <w:pPr>
        <w:spacing w:after="240"/>
        <w:rPr>
          <w:rFonts w:ascii="Calisto MT" w:hAnsi="Calisto MT"/>
        </w:rPr>
      </w:pPr>
      <w:r w:rsidRPr="00D34854">
        <w:rPr>
          <w:rFonts w:ascii="Calisto MT" w:hAnsi="Calisto MT"/>
        </w:rPr>
        <w:t>Nevertheless,</w:t>
      </w:r>
      <w:r w:rsidR="00CE0310" w:rsidRPr="00D34854">
        <w:rPr>
          <w:rFonts w:ascii="Calisto MT" w:hAnsi="Calisto MT"/>
        </w:rPr>
        <w:t xml:space="preserve"> the</w:t>
      </w:r>
      <w:r w:rsidRPr="00D34854">
        <w:rPr>
          <w:rFonts w:ascii="Calisto MT" w:hAnsi="Calisto MT"/>
        </w:rPr>
        <w:t xml:space="preserve"> </w:t>
      </w:r>
      <w:r w:rsidRPr="00D34854">
        <w:rPr>
          <w:rFonts w:ascii="Calisto MT" w:hAnsi="Calisto MT"/>
          <w:i/>
        </w:rPr>
        <w:t>Chevron</w:t>
      </w:r>
      <w:r w:rsidRPr="00D34854">
        <w:rPr>
          <w:rFonts w:ascii="Calisto MT" w:hAnsi="Calisto MT"/>
        </w:rPr>
        <w:t xml:space="preserve"> </w:t>
      </w:r>
      <w:r w:rsidR="00CE0310" w:rsidRPr="00D34854">
        <w:rPr>
          <w:rFonts w:ascii="Calisto MT" w:hAnsi="Calisto MT"/>
        </w:rPr>
        <w:t xml:space="preserve">doctrine </w:t>
      </w:r>
      <w:r w:rsidRPr="00D34854">
        <w:rPr>
          <w:rFonts w:ascii="Calisto MT" w:hAnsi="Calisto MT"/>
        </w:rPr>
        <w:t xml:space="preserve">has become more and more </w:t>
      </w:r>
      <w:r w:rsidR="00D22EEA" w:rsidRPr="00D34854">
        <w:rPr>
          <w:rFonts w:ascii="Calisto MT" w:hAnsi="Calisto MT"/>
        </w:rPr>
        <w:t xml:space="preserve">controversial </w:t>
      </w:r>
      <w:r w:rsidRPr="00D34854">
        <w:rPr>
          <w:rFonts w:ascii="Calisto MT" w:hAnsi="Calisto MT"/>
        </w:rPr>
        <w:t>over the years</w:t>
      </w:r>
      <w:r w:rsidR="00D22EEA" w:rsidRPr="00D34854">
        <w:rPr>
          <w:rFonts w:ascii="Calisto MT" w:hAnsi="Calisto MT"/>
        </w:rPr>
        <w:t>, with many defenders and challengers</w:t>
      </w:r>
      <w:r w:rsidRPr="00D34854">
        <w:rPr>
          <w:rFonts w:ascii="Calisto MT" w:hAnsi="Calisto MT"/>
        </w:rPr>
        <w:t xml:space="preserve">.  </w:t>
      </w:r>
      <w:r w:rsidR="00DB469F" w:rsidRPr="00D34854">
        <w:rPr>
          <w:rFonts w:ascii="Calisto MT" w:hAnsi="Calisto MT"/>
        </w:rPr>
        <w:t>T</w:t>
      </w:r>
      <w:r w:rsidRPr="00D34854">
        <w:rPr>
          <w:rFonts w:ascii="Calisto MT" w:hAnsi="Calisto MT"/>
        </w:rPr>
        <w:t xml:space="preserve">he </w:t>
      </w:r>
      <w:r w:rsidR="00DB469F" w:rsidRPr="00D34854">
        <w:rPr>
          <w:rFonts w:ascii="Calisto MT" w:hAnsi="Calisto MT"/>
        </w:rPr>
        <w:t xml:space="preserve">United States Supreme Court </w:t>
      </w:r>
      <w:r w:rsidRPr="00D34854">
        <w:rPr>
          <w:rFonts w:ascii="Calisto MT" w:hAnsi="Calisto MT"/>
        </w:rPr>
        <w:t xml:space="preserve">case of </w:t>
      </w:r>
      <w:r w:rsidRPr="00D34854">
        <w:rPr>
          <w:rFonts w:ascii="Calisto MT" w:hAnsi="Calisto MT"/>
          <w:i/>
        </w:rPr>
        <w:t>Kisor v. Wilkie</w:t>
      </w:r>
      <w:r w:rsidRPr="00D34854">
        <w:rPr>
          <w:rFonts w:ascii="Calisto MT" w:hAnsi="Calisto MT"/>
        </w:rPr>
        <w:t>, 18-15, which</w:t>
      </w:r>
      <w:r w:rsidR="00DA6476" w:rsidRPr="00D34854">
        <w:rPr>
          <w:rFonts w:ascii="Calisto MT" w:hAnsi="Calisto MT"/>
        </w:rPr>
        <w:t xml:space="preserve"> </w:t>
      </w:r>
      <w:r w:rsidRPr="00D34854">
        <w:rPr>
          <w:rFonts w:ascii="Calisto MT" w:hAnsi="Calisto MT"/>
        </w:rPr>
        <w:t>will be decided prior to this panel</w:t>
      </w:r>
      <w:r w:rsidR="00CE0310" w:rsidRPr="00D34854">
        <w:rPr>
          <w:rFonts w:ascii="Calisto MT" w:hAnsi="Calisto MT"/>
        </w:rPr>
        <w:t>’s presentation</w:t>
      </w:r>
      <w:r w:rsidRPr="00D34854">
        <w:rPr>
          <w:rFonts w:ascii="Calisto MT" w:hAnsi="Calisto MT"/>
        </w:rPr>
        <w:t xml:space="preserve">, </w:t>
      </w:r>
      <w:r w:rsidR="00DB469F" w:rsidRPr="00D34854">
        <w:rPr>
          <w:rFonts w:ascii="Calisto MT" w:hAnsi="Calisto MT"/>
        </w:rPr>
        <w:t xml:space="preserve">will specifically address whether </w:t>
      </w:r>
      <w:r w:rsidR="00DB469F" w:rsidRPr="00D34854">
        <w:rPr>
          <w:rFonts w:ascii="Calisto MT" w:hAnsi="Calisto MT"/>
          <w:i/>
        </w:rPr>
        <w:t>Auer</w:t>
      </w:r>
      <w:r w:rsidR="00DB469F" w:rsidRPr="00D34854">
        <w:rPr>
          <w:rFonts w:ascii="Calisto MT" w:hAnsi="Calisto MT"/>
        </w:rPr>
        <w:t xml:space="preserve"> and related cases should be overruled</w:t>
      </w:r>
      <w:r w:rsidRPr="00D34854">
        <w:rPr>
          <w:rFonts w:ascii="Calisto MT" w:hAnsi="Calisto MT"/>
        </w:rPr>
        <w:t>.</w:t>
      </w:r>
    </w:p>
    <w:p w:rsidR="00673767" w:rsidRPr="00D34854" w:rsidRDefault="00673767" w:rsidP="006A7495">
      <w:pPr>
        <w:rPr>
          <w:rFonts w:ascii="Calisto MT" w:hAnsi="Calisto MT"/>
          <w:b/>
          <w:bCs/>
        </w:rPr>
      </w:pPr>
      <w:r w:rsidRPr="00D34854">
        <w:rPr>
          <w:rFonts w:ascii="Calisto MT" w:hAnsi="Calisto MT"/>
          <w:b/>
          <w:bCs/>
        </w:rPr>
        <w:lastRenderedPageBreak/>
        <w:t xml:space="preserve">Non-delegation </w:t>
      </w:r>
    </w:p>
    <w:p w:rsidR="00D22EEA" w:rsidRPr="00D34854" w:rsidRDefault="00D357CB" w:rsidP="000A63A2">
      <w:pPr>
        <w:spacing w:after="240"/>
        <w:rPr>
          <w:rFonts w:ascii="Calisto MT" w:hAnsi="Calisto MT"/>
        </w:rPr>
      </w:pPr>
      <w:r w:rsidRPr="00D34854">
        <w:rPr>
          <w:rFonts w:ascii="Calisto MT" w:hAnsi="Calisto MT"/>
        </w:rPr>
        <w:t>Ano</w:t>
      </w:r>
      <w:r w:rsidR="00DA6476" w:rsidRPr="00D34854">
        <w:rPr>
          <w:rFonts w:ascii="Calisto MT" w:hAnsi="Calisto MT"/>
        </w:rPr>
        <w:t>ther current administrative law issue i</w:t>
      </w:r>
      <w:r w:rsidRPr="00D34854">
        <w:rPr>
          <w:rFonts w:ascii="Calisto MT" w:hAnsi="Calisto MT"/>
        </w:rPr>
        <w:t>s the validity of</w:t>
      </w:r>
      <w:r w:rsidR="00DA6476" w:rsidRPr="00D34854">
        <w:rPr>
          <w:rFonts w:ascii="Calisto MT" w:hAnsi="Calisto MT"/>
        </w:rPr>
        <w:t xml:space="preserve"> the delegation doctrine – the principle that Congress can transfer its power to legislate to another branch of government under certain circumstances.  The United States Supreme Court case of </w:t>
      </w:r>
      <w:r w:rsidR="00DA6476" w:rsidRPr="00D34854">
        <w:rPr>
          <w:rFonts w:ascii="Calisto MT" w:hAnsi="Calisto MT"/>
          <w:i/>
        </w:rPr>
        <w:t>Gundy v. United States</w:t>
      </w:r>
      <w:r w:rsidR="00DA6476" w:rsidRPr="00D34854">
        <w:rPr>
          <w:rFonts w:ascii="Calisto MT" w:hAnsi="Calisto MT"/>
        </w:rPr>
        <w:t>, 17-6086, will provide an opportunity for the Court to weigh in on the doctrine and its contours.</w:t>
      </w:r>
      <w:r w:rsidR="00087BB6" w:rsidRPr="00D34854">
        <w:rPr>
          <w:rFonts w:ascii="Calisto MT" w:hAnsi="Calisto MT"/>
        </w:rPr>
        <w:t xml:space="preserve">  </w:t>
      </w:r>
      <w:r w:rsidR="00087BB6" w:rsidRPr="00D34854">
        <w:rPr>
          <w:rFonts w:ascii="Calisto MT" w:hAnsi="Calisto MT"/>
          <w:i/>
        </w:rPr>
        <w:t>See</w:t>
      </w:r>
      <w:r w:rsidR="00087BB6" w:rsidRPr="00D34854">
        <w:rPr>
          <w:rFonts w:ascii="Calisto MT" w:hAnsi="Calisto MT"/>
        </w:rPr>
        <w:t xml:space="preserve"> Trish McCubbin,</w:t>
      </w:r>
      <w:r w:rsidR="00087BB6" w:rsidRPr="00D34854">
        <w:rPr>
          <w:rFonts w:ascii="Calisto MT" w:hAnsi="Calisto MT"/>
          <w:i/>
        </w:rPr>
        <w:t xml:space="preserve"> Gundy v. U.S.:  Will the Supreme Court Revitalize the Nondelegation Doctrine?</w:t>
      </w:r>
      <w:r w:rsidR="00087BB6" w:rsidRPr="00D34854">
        <w:rPr>
          <w:rFonts w:ascii="Calisto MT" w:hAnsi="Calisto MT"/>
        </w:rPr>
        <w:t xml:space="preserve">, Trends Newsletter, ABA Section of Environment, Energy, and Resources, at </w:t>
      </w:r>
      <w:hyperlink r:id="rId8" w:history="1">
        <w:r w:rsidR="00087BB6" w:rsidRPr="00D34854">
          <w:rPr>
            <w:rStyle w:val="Hyperlink"/>
            <w:rFonts w:ascii="Calisto MT" w:hAnsi="Calisto MT"/>
            <w:color w:val="auto"/>
          </w:rPr>
          <w:t>https://www.americanbar.org/groups/environment_energy_resources/publications/trends/2018-2019/november-december-2018/gundy-vs-us/</w:t>
        </w:r>
        <w:r w:rsidR="00087BB6" w:rsidRPr="00D34854">
          <w:rPr>
            <w:rStyle w:val="Hyperlink"/>
            <w:rFonts w:ascii="Calisto MT" w:hAnsi="Calisto MT"/>
            <w:color w:val="auto"/>
            <w:u w:val="none"/>
          </w:rPr>
          <w:t>(November/December</w:t>
        </w:r>
      </w:hyperlink>
      <w:r w:rsidR="00087BB6" w:rsidRPr="00D34854">
        <w:rPr>
          <w:rFonts w:ascii="Calisto MT" w:hAnsi="Calisto MT"/>
        </w:rPr>
        <w:t xml:space="preserve"> 2018).</w:t>
      </w:r>
    </w:p>
    <w:p w:rsidR="00673767" w:rsidRPr="00D34854" w:rsidRDefault="00673767" w:rsidP="006A7495">
      <w:pPr>
        <w:rPr>
          <w:rFonts w:ascii="Calisto MT" w:hAnsi="Calisto MT"/>
          <w:b/>
          <w:bCs/>
        </w:rPr>
      </w:pPr>
      <w:r w:rsidRPr="00D34854">
        <w:rPr>
          <w:rFonts w:ascii="Calisto MT" w:hAnsi="Calisto MT"/>
          <w:b/>
          <w:bCs/>
        </w:rPr>
        <w:t>Administrative guidance</w:t>
      </w:r>
    </w:p>
    <w:p w:rsidR="00087BB6" w:rsidRPr="00D34854" w:rsidRDefault="00087BB6" w:rsidP="006A7495">
      <w:pPr>
        <w:rPr>
          <w:rFonts w:ascii="Calisto MT" w:hAnsi="Calisto MT"/>
        </w:rPr>
      </w:pPr>
      <w:r w:rsidRPr="00D34854">
        <w:rPr>
          <w:rFonts w:ascii="Calisto MT" w:hAnsi="Calisto MT"/>
        </w:rPr>
        <w:t xml:space="preserve">Another timely topic concerns administrative agencies’ guidance documents – rules and policy statements that purport to interpret regulations.  The usefulness, propriety, and validity of such documents is a matter of dispute.  </w:t>
      </w:r>
      <w:r w:rsidRPr="00D34854">
        <w:rPr>
          <w:rFonts w:ascii="Calisto MT" w:hAnsi="Calisto MT"/>
          <w:i/>
        </w:rPr>
        <w:t>See, e.g.</w:t>
      </w:r>
      <w:r w:rsidRPr="00D34854">
        <w:rPr>
          <w:rFonts w:ascii="Calisto MT" w:hAnsi="Calisto MT"/>
        </w:rPr>
        <w:t>,</w:t>
      </w:r>
      <w:r w:rsidRPr="00D34854">
        <w:rPr>
          <w:rFonts w:ascii="Calisto MT" w:hAnsi="Calisto MT"/>
          <w:i/>
        </w:rPr>
        <w:t xml:space="preserve"> </w:t>
      </w:r>
      <w:r w:rsidRPr="00D34854">
        <w:rPr>
          <w:rFonts w:ascii="Calisto MT" w:hAnsi="Calisto MT"/>
        </w:rPr>
        <w:t xml:space="preserve">Ronald M. Levin, </w:t>
      </w:r>
      <w:r w:rsidRPr="00D34854">
        <w:rPr>
          <w:rFonts w:ascii="Calisto MT" w:hAnsi="Calisto MT"/>
          <w:i/>
        </w:rPr>
        <w:t>Unifying the APA Exemptions for Policy Statements and Interpretive Rules</w:t>
      </w:r>
      <w:r w:rsidRPr="00D34854">
        <w:rPr>
          <w:rFonts w:ascii="Calisto MT" w:hAnsi="Calisto MT"/>
        </w:rPr>
        <w:t>, 43 Admin. &amp; Reg. L. News 4 (2018).</w:t>
      </w:r>
    </w:p>
    <w:p w:rsidR="001568C5" w:rsidRPr="00D34854" w:rsidRDefault="001F51EE" w:rsidP="000A63A2">
      <w:pPr>
        <w:spacing w:after="240"/>
        <w:rPr>
          <w:rFonts w:ascii="Calisto MT" w:hAnsi="Calisto MT" w:cstheme="minorHAnsi"/>
        </w:rPr>
      </w:pPr>
      <w:r w:rsidRPr="00D34854">
        <w:rPr>
          <w:rFonts w:ascii="Calisto MT" w:hAnsi="Calisto MT" w:cstheme="minorHAnsi"/>
        </w:rPr>
        <w:t>The panel will explore the changing legal landscape for judicial review of agency actions from the viewpoint of appellate judges</w:t>
      </w:r>
      <w:r w:rsidR="00DA6476" w:rsidRPr="00D34854">
        <w:rPr>
          <w:rFonts w:ascii="Calisto MT" w:hAnsi="Calisto MT" w:cstheme="minorHAnsi"/>
        </w:rPr>
        <w:t xml:space="preserve"> and </w:t>
      </w:r>
      <w:r w:rsidRPr="00D34854">
        <w:rPr>
          <w:rFonts w:ascii="Calisto MT" w:hAnsi="Calisto MT" w:cstheme="minorHAnsi"/>
        </w:rPr>
        <w:t>appellate practitio</w:t>
      </w:r>
      <w:r w:rsidR="001568C5" w:rsidRPr="00D34854">
        <w:rPr>
          <w:rFonts w:ascii="Calisto MT" w:hAnsi="Calisto MT" w:cstheme="minorHAnsi"/>
        </w:rPr>
        <w:t>ner</w:t>
      </w:r>
      <w:r w:rsidR="00DA6476" w:rsidRPr="00D34854">
        <w:rPr>
          <w:rFonts w:ascii="Calisto MT" w:hAnsi="Calisto MT" w:cstheme="minorHAnsi"/>
        </w:rPr>
        <w:t>s</w:t>
      </w:r>
      <w:r w:rsidRPr="00D34854">
        <w:rPr>
          <w:rFonts w:ascii="Calisto MT" w:hAnsi="Calisto MT" w:cstheme="minorHAnsi"/>
        </w:rPr>
        <w:t xml:space="preserve">. </w:t>
      </w:r>
      <w:r w:rsidR="00DB469F" w:rsidRPr="00D34854">
        <w:rPr>
          <w:rFonts w:ascii="Calisto MT" w:hAnsi="Calisto MT" w:cstheme="minorHAnsi"/>
        </w:rPr>
        <w:t xml:space="preserve"> The panelists will share</w:t>
      </w:r>
      <w:r w:rsidR="001568C5" w:rsidRPr="00D34854">
        <w:rPr>
          <w:rFonts w:ascii="Calisto MT" w:hAnsi="Calisto MT" w:cstheme="minorHAnsi"/>
        </w:rPr>
        <w:t xml:space="preserve"> </w:t>
      </w:r>
      <w:r w:rsidRPr="00D34854">
        <w:rPr>
          <w:rFonts w:ascii="Calisto MT" w:hAnsi="Calisto MT" w:cstheme="minorHAnsi"/>
        </w:rPr>
        <w:t xml:space="preserve">the latest thinking on the constitutional </w:t>
      </w:r>
      <w:r w:rsidRPr="00D34854">
        <w:rPr>
          <w:rFonts w:ascii="Calisto MT" w:hAnsi="Calisto MT" w:cstheme="minorHAnsi"/>
        </w:rPr>
        <w:lastRenderedPageBreak/>
        <w:t xml:space="preserve">and policy considerations that underlie </w:t>
      </w:r>
      <w:r w:rsidRPr="00D34854">
        <w:rPr>
          <w:rFonts w:ascii="Calisto MT" w:hAnsi="Calisto MT" w:cstheme="minorHAnsi"/>
          <w:i/>
        </w:rPr>
        <w:t>Chevron</w:t>
      </w:r>
      <w:r w:rsidRPr="00D34854">
        <w:rPr>
          <w:rFonts w:ascii="Calisto MT" w:hAnsi="Calisto MT" w:cstheme="minorHAnsi"/>
        </w:rPr>
        <w:t xml:space="preserve"> deference and other legal standards that pertain to judicial review of executive agency action.</w:t>
      </w:r>
      <w:r w:rsidR="00F44424" w:rsidRPr="00D34854">
        <w:rPr>
          <w:rFonts w:ascii="Calisto MT" w:hAnsi="Calisto MT" w:cstheme="minorHAnsi"/>
        </w:rPr>
        <w:t xml:space="preserve">  The Supreme Court’s decisions in </w:t>
      </w:r>
      <w:r w:rsidR="00F44424" w:rsidRPr="00D34854">
        <w:rPr>
          <w:rFonts w:ascii="Calisto MT" w:hAnsi="Calisto MT" w:cstheme="minorHAnsi"/>
          <w:i/>
        </w:rPr>
        <w:t>Kisor</w:t>
      </w:r>
      <w:r w:rsidR="00F44424" w:rsidRPr="00D34854">
        <w:rPr>
          <w:rFonts w:ascii="Calisto MT" w:hAnsi="Calisto MT" w:cstheme="minorHAnsi"/>
        </w:rPr>
        <w:t xml:space="preserve"> and </w:t>
      </w:r>
      <w:r w:rsidR="00F44424" w:rsidRPr="00D34854">
        <w:rPr>
          <w:rFonts w:ascii="Calisto MT" w:hAnsi="Calisto MT" w:cstheme="minorHAnsi"/>
          <w:i/>
        </w:rPr>
        <w:t>Gundy</w:t>
      </w:r>
      <w:r w:rsidR="00F44424" w:rsidRPr="00D34854">
        <w:rPr>
          <w:rFonts w:ascii="Calisto MT" w:hAnsi="Calisto MT" w:cstheme="minorHAnsi"/>
        </w:rPr>
        <w:t xml:space="preserve"> </w:t>
      </w:r>
      <w:r w:rsidR="00673767" w:rsidRPr="00D34854">
        <w:rPr>
          <w:rFonts w:ascii="Calisto MT" w:hAnsi="Calisto MT" w:cstheme="minorHAnsi"/>
        </w:rPr>
        <w:t xml:space="preserve">are expected to </w:t>
      </w:r>
      <w:r w:rsidR="00D44D89" w:rsidRPr="00D34854">
        <w:rPr>
          <w:rFonts w:ascii="Calisto MT" w:hAnsi="Calisto MT" w:cstheme="minorHAnsi"/>
        </w:rPr>
        <w:t>play a major role.</w:t>
      </w:r>
    </w:p>
    <w:p w:rsidR="00DF6396" w:rsidRPr="00D34854" w:rsidRDefault="001568C5" w:rsidP="006A7495">
      <w:pPr>
        <w:jc w:val="center"/>
        <w:rPr>
          <w:rFonts w:ascii="Calisto MT" w:hAnsi="Calisto MT"/>
          <w:i/>
        </w:rPr>
      </w:pPr>
      <w:r w:rsidRPr="00D34854">
        <w:rPr>
          <w:rFonts w:ascii="Calisto MT" w:hAnsi="Calisto MT"/>
          <w:i/>
        </w:rPr>
        <w:t xml:space="preserve">Other </w:t>
      </w:r>
      <w:r w:rsidR="00DB469F" w:rsidRPr="00D34854">
        <w:rPr>
          <w:rFonts w:ascii="Calisto MT" w:hAnsi="Calisto MT"/>
          <w:i/>
        </w:rPr>
        <w:t>Useful</w:t>
      </w:r>
      <w:r w:rsidRPr="00D34854">
        <w:rPr>
          <w:rFonts w:ascii="Calisto MT" w:hAnsi="Calisto MT"/>
          <w:i/>
        </w:rPr>
        <w:t xml:space="preserve"> Authorities</w:t>
      </w:r>
    </w:p>
    <w:p w:rsidR="00A87D0F" w:rsidRPr="00D34854" w:rsidRDefault="00377C0E">
      <w:pPr>
        <w:rPr>
          <w:rFonts w:ascii="Calisto MT" w:hAnsi="Calisto MT"/>
        </w:rPr>
      </w:pPr>
      <w:r w:rsidRPr="00D34854">
        <w:rPr>
          <w:rFonts w:ascii="Calisto MT" w:hAnsi="Calisto MT"/>
          <w:i/>
        </w:rPr>
        <w:t>Michigan v. Environmental Protection Agency</w:t>
      </w:r>
      <w:r w:rsidRPr="00D34854">
        <w:rPr>
          <w:rFonts w:ascii="Calisto MT" w:hAnsi="Calisto MT"/>
        </w:rPr>
        <w:t>, ___ U.S. ___, 135 S. Ct. 2699, 192 L. Ed. 2d. 674 (2015) (Thomas, J., concurring)</w:t>
      </w:r>
    </w:p>
    <w:p w:rsidR="00377C0E" w:rsidRPr="00D34854" w:rsidRDefault="00377C0E">
      <w:pPr>
        <w:rPr>
          <w:rFonts w:ascii="Calisto MT" w:hAnsi="Calisto MT"/>
        </w:rPr>
      </w:pPr>
      <w:r w:rsidRPr="00D34854">
        <w:rPr>
          <w:rFonts w:ascii="Calisto MT" w:hAnsi="Calisto MT"/>
        </w:rPr>
        <w:t xml:space="preserve">The United States Supreme Court was asked to address whether the Environmental Protection Agency was required to consider cost in imposing regulation on certain power plants.  The Court applied the </w:t>
      </w:r>
      <w:r w:rsidRPr="00D34854">
        <w:rPr>
          <w:rFonts w:ascii="Calisto MT" w:hAnsi="Calisto MT"/>
          <w:i/>
        </w:rPr>
        <w:t>Chevron</w:t>
      </w:r>
      <w:r w:rsidRPr="00D34854">
        <w:rPr>
          <w:rFonts w:ascii="Calisto MT" w:hAnsi="Calisto MT"/>
        </w:rPr>
        <w:t xml:space="preserve"> standard to determine whether the agency’s interpretation of </w:t>
      </w:r>
      <w:r w:rsidR="005118CC" w:rsidRPr="00D34854">
        <w:rPr>
          <w:rFonts w:ascii="Calisto MT" w:hAnsi="Calisto MT"/>
        </w:rPr>
        <w:t>statutes</w:t>
      </w:r>
      <w:r w:rsidRPr="00D34854">
        <w:rPr>
          <w:rFonts w:ascii="Calisto MT" w:hAnsi="Calisto MT"/>
        </w:rPr>
        <w:t xml:space="preserve"> was correct.</w:t>
      </w:r>
      <w:r w:rsidR="005118CC" w:rsidRPr="00D34854">
        <w:rPr>
          <w:rFonts w:ascii="Calisto MT" w:hAnsi="Calisto MT"/>
        </w:rPr>
        <w:t xml:space="preserve">  Acknowledging that the </w:t>
      </w:r>
      <w:r w:rsidR="005118CC" w:rsidRPr="00D34854">
        <w:rPr>
          <w:rFonts w:ascii="Calisto MT" w:hAnsi="Calisto MT"/>
          <w:i/>
        </w:rPr>
        <w:t>Chevron</w:t>
      </w:r>
      <w:r w:rsidR="005118CC" w:rsidRPr="00D34854">
        <w:rPr>
          <w:rFonts w:ascii="Calisto MT" w:hAnsi="Calisto MT"/>
        </w:rPr>
        <w:t xml:space="preserve"> standard required some degree of deference to an agency’s interpretation, the Court still concluded that the agency</w:t>
      </w:r>
      <w:r w:rsidR="00DB469F" w:rsidRPr="00D34854">
        <w:rPr>
          <w:rFonts w:ascii="Calisto MT" w:hAnsi="Calisto MT"/>
        </w:rPr>
        <w:t>’s view of the statute</w:t>
      </w:r>
      <w:r w:rsidR="005118CC" w:rsidRPr="00D34854">
        <w:rPr>
          <w:rFonts w:ascii="Calisto MT" w:hAnsi="Calisto MT"/>
        </w:rPr>
        <w:t xml:space="preserve"> was incorrect</w:t>
      </w:r>
      <w:r w:rsidR="00DB469F" w:rsidRPr="00D34854">
        <w:rPr>
          <w:rFonts w:ascii="Calisto MT" w:hAnsi="Calisto MT"/>
        </w:rPr>
        <w:t>,</w:t>
      </w:r>
      <w:r w:rsidR="005118CC" w:rsidRPr="00D34854">
        <w:rPr>
          <w:rFonts w:ascii="Calisto MT" w:hAnsi="Calisto MT"/>
        </w:rPr>
        <w:t xml:space="preserve"> and </w:t>
      </w:r>
      <w:r w:rsidR="00DB469F" w:rsidRPr="00D34854">
        <w:rPr>
          <w:rFonts w:ascii="Calisto MT" w:hAnsi="Calisto MT"/>
        </w:rPr>
        <w:t xml:space="preserve">the agency </w:t>
      </w:r>
      <w:r w:rsidR="005118CC" w:rsidRPr="00D34854">
        <w:rPr>
          <w:rFonts w:ascii="Calisto MT" w:hAnsi="Calisto MT"/>
        </w:rPr>
        <w:t>should have considered costs to power plant operators when drafting regulations.</w:t>
      </w:r>
    </w:p>
    <w:p w:rsidR="00804E8F" w:rsidRPr="00D34854" w:rsidRDefault="005118CC">
      <w:pPr>
        <w:rPr>
          <w:rFonts w:ascii="Calisto MT" w:hAnsi="Calisto MT" w:cstheme="minorHAnsi"/>
        </w:rPr>
      </w:pPr>
      <w:r w:rsidRPr="00D34854">
        <w:rPr>
          <w:rFonts w:ascii="Calisto MT" w:hAnsi="Calisto MT"/>
        </w:rPr>
        <w:t xml:space="preserve">Justice Thomas’ </w:t>
      </w:r>
      <w:r w:rsidRPr="00D34854">
        <w:rPr>
          <w:rFonts w:ascii="Calisto MT" w:hAnsi="Calisto MT" w:cstheme="minorHAnsi"/>
        </w:rPr>
        <w:t xml:space="preserve">concurring opinion raises interesting questions relevant to this panel’s discussion.  </w:t>
      </w:r>
      <w:r w:rsidR="00804E8F" w:rsidRPr="00D34854">
        <w:rPr>
          <w:rFonts w:ascii="Calisto MT" w:hAnsi="Calisto MT" w:cstheme="minorHAnsi"/>
        </w:rPr>
        <w:t>He argues th</w:t>
      </w:r>
      <w:r w:rsidR="00DB469F" w:rsidRPr="00D34854">
        <w:rPr>
          <w:rFonts w:ascii="Calisto MT" w:hAnsi="Calisto MT" w:cstheme="minorHAnsi"/>
        </w:rPr>
        <w:t xml:space="preserve">at </w:t>
      </w:r>
      <w:r w:rsidR="00DB469F" w:rsidRPr="00D34854">
        <w:rPr>
          <w:rFonts w:ascii="Calisto MT" w:hAnsi="Calisto MT" w:cstheme="minorHAnsi"/>
          <w:i/>
        </w:rPr>
        <w:t>Chevron</w:t>
      </w:r>
      <w:r w:rsidR="00804E8F" w:rsidRPr="00D34854">
        <w:rPr>
          <w:rFonts w:ascii="Calisto MT" w:hAnsi="Calisto MT" w:cstheme="minorHAnsi"/>
        </w:rPr>
        <w:t xml:space="preserve">, should be reconsidered because </w:t>
      </w:r>
      <w:r w:rsidR="00DB469F" w:rsidRPr="00D34854">
        <w:rPr>
          <w:rFonts w:ascii="Calisto MT" w:hAnsi="Calisto MT" w:cstheme="minorHAnsi"/>
        </w:rPr>
        <w:t xml:space="preserve">he concludes </w:t>
      </w:r>
      <w:r w:rsidR="00804E8F" w:rsidRPr="00D34854">
        <w:rPr>
          <w:rFonts w:ascii="Calisto MT" w:hAnsi="Calisto MT" w:cstheme="minorHAnsi"/>
        </w:rPr>
        <w:t xml:space="preserve">courts should not relinquish their independent judgment in favor of executive branch administrative agencies.  </w:t>
      </w:r>
      <w:r w:rsidR="00D44D89" w:rsidRPr="00D34854">
        <w:rPr>
          <w:rFonts w:ascii="Calisto MT" w:hAnsi="Calisto MT" w:cstheme="minorHAnsi"/>
        </w:rPr>
        <w:t xml:space="preserve">In addition, Justice Thomas </w:t>
      </w:r>
      <w:r w:rsidR="00804E8F" w:rsidRPr="00D34854">
        <w:rPr>
          <w:rFonts w:ascii="Calisto MT" w:hAnsi="Calisto MT" w:cstheme="minorHAnsi"/>
        </w:rPr>
        <w:t xml:space="preserve">describes traditional </w:t>
      </w:r>
      <w:r w:rsidR="00804E8F" w:rsidRPr="00D34854">
        <w:rPr>
          <w:rFonts w:ascii="Calisto MT" w:hAnsi="Calisto MT" w:cstheme="minorHAnsi"/>
          <w:i/>
        </w:rPr>
        <w:t>Chevron</w:t>
      </w:r>
      <w:r w:rsidR="00804E8F" w:rsidRPr="00D34854">
        <w:rPr>
          <w:rFonts w:ascii="Calisto MT" w:hAnsi="Calisto MT" w:cstheme="minorHAnsi"/>
        </w:rPr>
        <w:t xml:space="preserve"> deference as “potentially unconstitutional delegations” of judicial authority.  104 S. Ct. at 2713.</w:t>
      </w:r>
    </w:p>
    <w:p w:rsidR="001568C5" w:rsidRPr="00D34854" w:rsidRDefault="001568C5">
      <w:pPr>
        <w:rPr>
          <w:rFonts w:ascii="Calisto MT" w:hAnsi="Calisto MT" w:cstheme="minorHAnsi"/>
          <w:i/>
        </w:rPr>
      </w:pPr>
    </w:p>
    <w:p w:rsidR="005118CC" w:rsidRPr="00D34854" w:rsidRDefault="00804E8F">
      <w:pPr>
        <w:rPr>
          <w:rFonts w:ascii="Calisto MT" w:hAnsi="Calisto MT" w:cstheme="minorHAnsi"/>
        </w:rPr>
      </w:pPr>
      <w:r w:rsidRPr="00D34854">
        <w:rPr>
          <w:rFonts w:ascii="Calisto MT" w:hAnsi="Calisto MT" w:cstheme="minorHAnsi"/>
          <w:i/>
        </w:rPr>
        <w:t>Guitierrez-Brizuela v. Lynch</w:t>
      </w:r>
      <w:r w:rsidRPr="00D34854">
        <w:rPr>
          <w:rFonts w:ascii="Calisto MT" w:hAnsi="Calisto MT" w:cstheme="minorHAnsi"/>
        </w:rPr>
        <w:t>, 834 F.3d 1142 (10th Cir. 2016)</w:t>
      </w:r>
    </w:p>
    <w:p w:rsidR="00DF6396" w:rsidRPr="00D34854" w:rsidRDefault="00DF6396">
      <w:pPr>
        <w:rPr>
          <w:rFonts w:ascii="Calisto MT" w:hAnsi="Calisto MT" w:cstheme="minorHAnsi"/>
        </w:rPr>
      </w:pPr>
      <w:r w:rsidRPr="00D34854">
        <w:rPr>
          <w:rFonts w:ascii="Calisto MT" w:hAnsi="Calisto MT" w:cstheme="minorHAnsi"/>
        </w:rPr>
        <w:t xml:space="preserve">This case also presented questions about </w:t>
      </w:r>
      <w:r w:rsidRPr="00D34854">
        <w:rPr>
          <w:rFonts w:ascii="Calisto MT" w:hAnsi="Calisto MT" w:cstheme="minorHAnsi"/>
          <w:i/>
        </w:rPr>
        <w:t>Chevron</w:t>
      </w:r>
      <w:r w:rsidRPr="00D34854">
        <w:rPr>
          <w:rFonts w:ascii="Calisto MT" w:hAnsi="Calisto MT" w:cstheme="minorHAnsi"/>
        </w:rPr>
        <w:t xml:space="preserve"> </w:t>
      </w:r>
      <w:r w:rsidR="00DB469F" w:rsidRPr="00D34854">
        <w:rPr>
          <w:rFonts w:ascii="Calisto MT" w:hAnsi="Calisto MT" w:cstheme="minorHAnsi"/>
        </w:rPr>
        <w:t>and subsequent cases</w:t>
      </w:r>
      <w:r w:rsidRPr="00D34854">
        <w:rPr>
          <w:rFonts w:ascii="Calisto MT" w:hAnsi="Calisto MT" w:cstheme="minorHAnsi"/>
        </w:rPr>
        <w:t xml:space="preserve">.  The </w:t>
      </w:r>
      <w:r w:rsidR="00FF685F" w:rsidRPr="00D34854">
        <w:rPr>
          <w:rFonts w:ascii="Calisto MT" w:hAnsi="Calisto MT" w:cstheme="minorHAnsi"/>
        </w:rPr>
        <w:t xml:space="preserve">Tenth Circuit was asked to </w:t>
      </w:r>
      <w:r w:rsidR="003E3138" w:rsidRPr="00D34854">
        <w:rPr>
          <w:rFonts w:ascii="Calisto MT" w:hAnsi="Calisto MT" w:cstheme="minorHAnsi"/>
        </w:rPr>
        <w:t xml:space="preserve">determine the effect of a federal agency’s attempts to overrule a judicial decision.  Judge (now Justice) Gorsuch, writing for the panel, stated that under the </w:t>
      </w:r>
      <w:r w:rsidR="003E3138" w:rsidRPr="00D34854">
        <w:rPr>
          <w:rFonts w:ascii="Calisto MT" w:hAnsi="Calisto MT" w:cstheme="minorHAnsi"/>
          <w:i/>
        </w:rPr>
        <w:t>Chevron</w:t>
      </w:r>
      <w:r w:rsidR="003E3138" w:rsidRPr="00D34854">
        <w:rPr>
          <w:rFonts w:ascii="Calisto MT" w:hAnsi="Calisto MT" w:cstheme="minorHAnsi"/>
        </w:rPr>
        <w:t xml:space="preserve"> standard, “</w:t>
      </w:r>
      <w:r w:rsidR="003E3138" w:rsidRPr="00D34854">
        <w:rPr>
          <w:rFonts w:ascii="Calisto MT" w:hAnsi="Calisto MT" w:cs="Arial"/>
          <w:color w:val="212121"/>
        </w:rPr>
        <w:t xml:space="preserve">when a statute is ambiguous and an executive agency’s interpretation is reasonable, the agency may indeed exercise delegated legislative authority to overrule a judicial precedent in favor of the agency's preferred interpretation.”  </w:t>
      </w:r>
      <w:r w:rsidR="003E3138" w:rsidRPr="00D34854">
        <w:rPr>
          <w:rFonts w:ascii="Calisto MT" w:hAnsi="Calisto MT" w:cs="Arial"/>
          <w:i/>
          <w:color w:val="212121"/>
        </w:rPr>
        <w:t>Id.</w:t>
      </w:r>
      <w:r w:rsidR="003E3138" w:rsidRPr="00D34854">
        <w:rPr>
          <w:rFonts w:ascii="Calisto MT" w:hAnsi="Calisto MT" w:cs="Arial"/>
          <w:color w:val="212121"/>
        </w:rPr>
        <w:t xml:space="preserve"> at </w:t>
      </w:r>
      <w:r w:rsidR="00B17D6E" w:rsidRPr="00D34854">
        <w:rPr>
          <w:rFonts w:ascii="Calisto MT" w:hAnsi="Calisto MT" w:cs="Arial"/>
          <w:color w:val="212121"/>
        </w:rPr>
        <w:t>1143.  In a</w:t>
      </w:r>
      <w:r w:rsidR="00DB469F" w:rsidRPr="00D34854">
        <w:rPr>
          <w:rFonts w:ascii="Calisto MT" w:hAnsi="Calisto MT" w:cs="Arial"/>
          <w:color w:val="212121"/>
        </w:rPr>
        <w:t xml:space="preserve">n unusual </w:t>
      </w:r>
      <w:r w:rsidR="00B17D6E" w:rsidRPr="00D34854">
        <w:rPr>
          <w:rFonts w:ascii="Calisto MT" w:hAnsi="Calisto MT" w:cs="Arial"/>
          <w:color w:val="212121"/>
        </w:rPr>
        <w:t xml:space="preserve">development, Judge Gorsuch wrote a separate concurring decision in which he questioned at length the propriety and value of the </w:t>
      </w:r>
      <w:r w:rsidR="00B17D6E" w:rsidRPr="00D34854">
        <w:rPr>
          <w:rFonts w:ascii="Calisto MT" w:hAnsi="Calisto MT" w:cs="Arial"/>
          <w:i/>
          <w:color w:val="212121"/>
        </w:rPr>
        <w:t>Chevron</w:t>
      </w:r>
      <w:r w:rsidR="00B17D6E" w:rsidRPr="00D34854">
        <w:rPr>
          <w:rFonts w:ascii="Calisto MT" w:hAnsi="Calisto MT" w:cs="Arial"/>
          <w:color w:val="212121"/>
        </w:rPr>
        <w:t xml:space="preserve"> d</w:t>
      </w:r>
      <w:r w:rsidR="00DB469F" w:rsidRPr="00D34854">
        <w:rPr>
          <w:rFonts w:ascii="Calisto MT" w:hAnsi="Calisto MT" w:cs="Arial"/>
          <w:color w:val="212121"/>
        </w:rPr>
        <w:t>octrine</w:t>
      </w:r>
      <w:r w:rsidR="00B17D6E" w:rsidRPr="00D34854">
        <w:rPr>
          <w:rFonts w:ascii="Calisto MT" w:hAnsi="Calisto MT" w:cs="Arial"/>
          <w:color w:val="212121"/>
        </w:rPr>
        <w:t>.</w:t>
      </w:r>
    </w:p>
    <w:p w:rsidR="001568C5" w:rsidRPr="00D34854" w:rsidRDefault="001568C5">
      <w:pPr>
        <w:rPr>
          <w:rFonts w:ascii="Calisto MT" w:hAnsi="Calisto MT" w:cstheme="minorHAnsi"/>
          <w:i/>
        </w:rPr>
      </w:pPr>
    </w:p>
    <w:p w:rsidR="00DF6396" w:rsidRPr="00D34854" w:rsidRDefault="00DF6396">
      <w:pPr>
        <w:rPr>
          <w:rFonts w:ascii="Calisto MT" w:hAnsi="Calisto MT" w:cstheme="minorHAnsi"/>
        </w:rPr>
      </w:pPr>
      <w:r w:rsidRPr="00D34854">
        <w:rPr>
          <w:rFonts w:ascii="Calisto MT" w:hAnsi="Calisto MT" w:cstheme="minorHAnsi"/>
          <w:i/>
        </w:rPr>
        <w:t>NIPSCO Indus. Group v. N. Ind. Public Service Co.</w:t>
      </w:r>
      <w:r w:rsidRPr="00D34854">
        <w:rPr>
          <w:rFonts w:ascii="Calisto MT" w:hAnsi="Calisto MT" w:cstheme="minorHAnsi"/>
        </w:rPr>
        <w:t>, 100 N.E.3d 234 (Ind. 2018)</w:t>
      </w:r>
    </w:p>
    <w:p w:rsidR="001568C5" w:rsidRDefault="00D40C76" w:rsidP="00DB469F">
      <w:pPr>
        <w:rPr>
          <w:rFonts w:ascii="Calisto MT" w:hAnsi="Calisto MT" w:cstheme="minorHAnsi"/>
        </w:rPr>
      </w:pPr>
      <w:r w:rsidRPr="00D34854">
        <w:rPr>
          <w:rFonts w:ascii="Calisto MT" w:hAnsi="Calisto MT" w:cstheme="minorHAnsi"/>
        </w:rPr>
        <w:t xml:space="preserve">On the merits, this case </w:t>
      </w:r>
      <w:r w:rsidR="00C52888" w:rsidRPr="00D34854">
        <w:rPr>
          <w:rFonts w:ascii="Calisto MT" w:hAnsi="Calisto MT" w:cstheme="minorHAnsi"/>
        </w:rPr>
        <w:t>discusses</w:t>
      </w:r>
      <w:r w:rsidRPr="00D34854">
        <w:rPr>
          <w:rFonts w:ascii="Calisto MT" w:hAnsi="Calisto MT" w:cstheme="minorHAnsi"/>
        </w:rPr>
        <w:t xml:space="preserve"> the interpretation of an Indiana statute that governs a preapproval process for utilities to recover the costs of certain capital improvements.  For purposes of this panel, the most relevant part of the decision is the standard of review.  The Indiana Supreme Court stated that when reviewing pure ques</w:t>
      </w:r>
      <w:r w:rsidRPr="00D34854">
        <w:rPr>
          <w:rFonts w:ascii="Calisto MT" w:hAnsi="Calisto MT" w:cstheme="minorHAnsi"/>
        </w:rPr>
        <w:lastRenderedPageBreak/>
        <w:t xml:space="preserve">tions of law from an administrative tribunal, </w:t>
      </w:r>
      <w:r w:rsidRPr="00D34854">
        <w:rPr>
          <w:rFonts w:ascii="Calisto MT" w:hAnsi="Calisto MT" w:cs="Arial"/>
          <w:color w:val="212121"/>
        </w:rPr>
        <w:t xml:space="preserve">“[w]e review questions of law de novo . . . and accord the administrative tribunal below no deference.”  </w:t>
      </w:r>
      <w:r w:rsidRPr="00D34854">
        <w:rPr>
          <w:rFonts w:ascii="Calisto MT" w:hAnsi="Calisto MT" w:cs="Arial"/>
          <w:i/>
          <w:color w:val="212121"/>
        </w:rPr>
        <w:t>Id.</w:t>
      </w:r>
      <w:r w:rsidRPr="00D34854">
        <w:rPr>
          <w:rFonts w:ascii="Calisto MT" w:hAnsi="Calisto MT" w:cs="Arial"/>
          <w:color w:val="212121"/>
        </w:rPr>
        <w:t xml:space="preserve"> at 241.</w:t>
      </w:r>
      <w:r w:rsidR="00DB469F" w:rsidRPr="00D34854">
        <w:rPr>
          <w:rFonts w:ascii="Calisto MT" w:hAnsi="Calisto MT" w:cs="Arial"/>
          <w:color w:val="212121"/>
        </w:rPr>
        <w:t xml:space="preserve">  This standard of review appears to be in tension with the Indiana Supreme Court’s statement of the standard of review </w:t>
      </w:r>
      <w:r w:rsidR="00D44D89" w:rsidRPr="00D34854">
        <w:rPr>
          <w:rFonts w:ascii="Calisto MT" w:hAnsi="Calisto MT" w:cs="Arial"/>
          <w:color w:val="212121"/>
        </w:rPr>
        <w:t xml:space="preserve">as stated </w:t>
      </w:r>
      <w:r w:rsidR="00DB469F" w:rsidRPr="00D34854">
        <w:rPr>
          <w:rFonts w:ascii="Calisto MT" w:hAnsi="Calisto MT" w:cs="Arial"/>
          <w:color w:val="212121"/>
        </w:rPr>
        <w:t xml:space="preserve">in </w:t>
      </w:r>
      <w:r w:rsidR="00DB469F" w:rsidRPr="00D34854">
        <w:rPr>
          <w:rFonts w:ascii="Calisto MT" w:hAnsi="Calisto MT" w:cs="Arial"/>
          <w:i/>
          <w:color w:val="212121"/>
        </w:rPr>
        <w:t>Moriarty</w:t>
      </w:r>
      <w:r w:rsidR="00DB469F" w:rsidRPr="00D34854">
        <w:rPr>
          <w:rFonts w:ascii="Calisto MT" w:hAnsi="Calisto MT" w:cs="Arial"/>
          <w:color w:val="212121"/>
        </w:rPr>
        <w:t xml:space="preserve">, </w:t>
      </w:r>
      <w:r w:rsidR="00D44D89" w:rsidRPr="00D34854">
        <w:rPr>
          <w:rFonts w:ascii="Calisto MT" w:hAnsi="Calisto MT" w:cstheme="minorHAnsi"/>
        </w:rPr>
        <w:t>113 N.E.3d at 619</w:t>
      </w:r>
      <w:r w:rsidR="00DB469F" w:rsidRPr="00D34854">
        <w:rPr>
          <w:rFonts w:ascii="Calisto MT" w:hAnsi="Calisto MT" w:cs="Arial"/>
          <w:color w:val="212121"/>
        </w:rPr>
        <w:t>.</w:t>
      </w:r>
    </w:p>
    <w:sectPr w:rsidR="00156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E14" w:rsidRDefault="00951E14" w:rsidP="001568C5">
      <w:pPr>
        <w:spacing w:after="0" w:line="240" w:lineRule="auto"/>
      </w:pPr>
      <w:r>
        <w:separator/>
      </w:r>
    </w:p>
  </w:endnote>
  <w:endnote w:type="continuationSeparator" w:id="0">
    <w:p w:rsidR="00951E14" w:rsidRDefault="00951E14" w:rsidP="0015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E14" w:rsidRDefault="00951E14" w:rsidP="001568C5">
      <w:pPr>
        <w:spacing w:after="0" w:line="240" w:lineRule="auto"/>
      </w:pPr>
      <w:r>
        <w:separator/>
      </w:r>
    </w:p>
  </w:footnote>
  <w:footnote w:type="continuationSeparator" w:id="0">
    <w:p w:rsidR="00951E14" w:rsidRDefault="00951E14" w:rsidP="001568C5">
      <w:pPr>
        <w:spacing w:after="0" w:line="240" w:lineRule="auto"/>
      </w:pPr>
      <w:r>
        <w:continuationSeparator/>
      </w:r>
    </w:p>
  </w:footnote>
  <w:footnote w:id="1">
    <w:p w:rsidR="00366074" w:rsidRPr="000A63A2" w:rsidRDefault="00366074">
      <w:pPr>
        <w:pStyle w:val="FootnoteText"/>
        <w:rPr>
          <w:rFonts w:ascii="Calisto MT" w:hAnsi="Calisto MT"/>
          <w:sz w:val="22"/>
          <w:szCs w:val="22"/>
        </w:rPr>
      </w:pPr>
      <w:r w:rsidRPr="00D34854">
        <w:rPr>
          <w:rStyle w:val="FootnoteReference"/>
          <w:rFonts w:ascii="Calisto MT" w:hAnsi="Calisto MT"/>
          <w:sz w:val="22"/>
          <w:szCs w:val="22"/>
        </w:rPr>
        <w:footnoteRef/>
      </w:r>
      <w:r w:rsidRPr="00D34854">
        <w:rPr>
          <w:rFonts w:ascii="Calisto MT" w:hAnsi="Calisto MT"/>
          <w:sz w:val="22"/>
          <w:szCs w:val="22"/>
        </w:rPr>
        <w:t xml:space="preserve"> On the other hand, if a given statute is not ambiguous, its plain meaning controls--as determined by the courts.  Whether </w:t>
      </w:r>
      <w:r w:rsidR="00673767" w:rsidRPr="00D34854">
        <w:rPr>
          <w:rFonts w:ascii="Calisto MT" w:hAnsi="Calisto MT"/>
          <w:sz w:val="22"/>
          <w:szCs w:val="22"/>
        </w:rPr>
        <w:t xml:space="preserve">a particular statute is ambiguous is for the courts to decide as a matter of law.  </w:t>
      </w:r>
      <w:r w:rsidR="00673767" w:rsidRPr="00D34854">
        <w:rPr>
          <w:rFonts w:ascii="Calisto MT" w:hAnsi="Calisto MT"/>
          <w:i/>
          <w:iCs/>
          <w:sz w:val="22"/>
          <w:szCs w:val="22"/>
        </w:rPr>
        <w:t xml:space="preserve">See </w:t>
      </w:r>
      <w:r w:rsidR="000A63A2" w:rsidRPr="00D34854">
        <w:rPr>
          <w:rFonts w:ascii="Calisto MT" w:hAnsi="Calisto MT"/>
          <w:i/>
          <w:iCs/>
          <w:sz w:val="22"/>
          <w:szCs w:val="22"/>
        </w:rPr>
        <w:t>Littlefield v. U.S. Dep't of the Interior</w:t>
      </w:r>
      <w:r w:rsidR="000A63A2" w:rsidRPr="00D34854">
        <w:rPr>
          <w:rFonts w:ascii="Calisto MT" w:hAnsi="Calisto MT"/>
          <w:sz w:val="22"/>
          <w:szCs w:val="22"/>
        </w:rPr>
        <w:t>, 199 F. Supp. 3d 391, 396 (D. Mass. 2016) (according plain meaning to federal statute and rejecting federal agency’s claim that statue was ambiguous:  “With respect, this is not a close call: to find ambiguity here would be to find it everywhere.”)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E7C54"/>
    <w:multiLevelType w:val="hybridMultilevel"/>
    <w:tmpl w:val="E92E17DA"/>
    <w:lvl w:ilvl="0" w:tplc="E612E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0E"/>
    <w:rsid w:val="00082B6F"/>
    <w:rsid w:val="00087BB6"/>
    <w:rsid w:val="000A63A2"/>
    <w:rsid w:val="001568C5"/>
    <w:rsid w:val="001F51EE"/>
    <w:rsid w:val="002704C9"/>
    <w:rsid w:val="002E2658"/>
    <w:rsid w:val="00366074"/>
    <w:rsid w:val="00377C0E"/>
    <w:rsid w:val="003E3138"/>
    <w:rsid w:val="004C22B1"/>
    <w:rsid w:val="005118CC"/>
    <w:rsid w:val="00592E96"/>
    <w:rsid w:val="00673767"/>
    <w:rsid w:val="006A7495"/>
    <w:rsid w:val="007E13F8"/>
    <w:rsid w:val="008008B3"/>
    <w:rsid w:val="00804E8F"/>
    <w:rsid w:val="00821609"/>
    <w:rsid w:val="00847459"/>
    <w:rsid w:val="00951E14"/>
    <w:rsid w:val="00A74323"/>
    <w:rsid w:val="00A87D0F"/>
    <w:rsid w:val="00B17D6E"/>
    <w:rsid w:val="00C212A5"/>
    <w:rsid w:val="00C52888"/>
    <w:rsid w:val="00CA1AAA"/>
    <w:rsid w:val="00CE0310"/>
    <w:rsid w:val="00CF3F5E"/>
    <w:rsid w:val="00D21B12"/>
    <w:rsid w:val="00D22EEA"/>
    <w:rsid w:val="00D34854"/>
    <w:rsid w:val="00D357CB"/>
    <w:rsid w:val="00D40C76"/>
    <w:rsid w:val="00D44D89"/>
    <w:rsid w:val="00DA6476"/>
    <w:rsid w:val="00DB469F"/>
    <w:rsid w:val="00DC45C9"/>
    <w:rsid w:val="00DF6396"/>
    <w:rsid w:val="00EB5FAE"/>
    <w:rsid w:val="00F44424"/>
    <w:rsid w:val="00F51BB2"/>
    <w:rsid w:val="00F6082F"/>
    <w:rsid w:val="00FF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46C71"/>
  <w15:docId w15:val="{C102F447-B1BD-4B64-8B92-061AEF6F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E8F"/>
    <w:rPr>
      <w:color w:val="0000FF"/>
      <w:u w:val="single"/>
    </w:rPr>
  </w:style>
  <w:style w:type="character" w:styleId="Emphasis">
    <w:name w:val="Emphasis"/>
    <w:basedOn w:val="DefaultParagraphFont"/>
    <w:uiPriority w:val="20"/>
    <w:qFormat/>
    <w:rsid w:val="00804E8F"/>
    <w:rPr>
      <w:i/>
      <w:iCs/>
    </w:rPr>
  </w:style>
  <w:style w:type="paragraph" w:styleId="ListParagraph">
    <w:name w:val="List Paragraph"/>
    <w:basedOn w:val="Normal"/>
    <w:uiPriority w:val="34"/>
    <w:qFormat/>
    <w:rsid w:val="00B17D6E"/>
    <w:pPr>
      <w:ind w:left="720"/>
      <w:contextualSpacing/>
    </w:pPr>
  </w:style>
  <w:style w:type="character" w:customStyle="1" w:styleId="UnresolvedMention">
    <w:name w:val="Unresolved Mention"/>
    <w:basedOn w:val="DefaultParagraphFont"/>
    <w:uiPriority w:val="99"/>
    <w:semiHidden/>
    <w:unhideWhenUsed/>
    <w:rsid w:val="00087BB6"/>
    <w:rPr>
      <w:color w:val="605E5C"/>
      <w:shd w:val="clear" w:color="auto" w:fill="E1DFDD"/>
    </w:rPr>
  </w:style>
  <w:style w:type="paragraph" w:styleId="Header">
    <w:name w:val="header"/>
    <w:basedOn w:val="Normal"/>
    <w:link w:val="HeaderChar"/>
    <w:uiPriority w:val="99"/>
    <w:unhideWhenUsed/>
    <w:rsid w:val="00156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8C5"/>
  </w:style>
  <w:style w:type="paragraph" w:styleId="Footer">
    <w:name w:val="footer"/>
    <w:basedOn w:val="Normal"/>
    <w:link w:val="FooterChar"/>
    <w:uiPriority w:val="99"/>
    <w:unhideWhenUsed/>
    <w:rsid w:val="00156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8C5"/>
  </w:style>
  <w:style w:type="paragraph" w:styleId="NoSpacing">
    <w:name w:val="No Spacing"/>
    <w:uiPriority w:val="1"/>
    <w:qFormat/>
    <w:rsid w:val="00366074"/>
    <w:pPr>
      <w:spacing w:after="0" w:line="240" w:lineRule="auto"/>
    </w:pPr>
    <w:rPr>
      <w:sz w:val="22"/>
      <w:szCs w:val="22"/>
    </w:rPr>
  </w:style>
  <w:style w:type="paragraph" w:styleId="FootnoteText">
    <w:name w:val="footnote text"/>
    <w:basedOn w:val="Normal"/>
    <w:link w:val="FootnoteTextChar"/>
    <w:uiPriority w:val="99"/>
    <w:semiHidden/>
    <w:unhideWhenUsed/>
    <w:rsid w:val="003660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074"/>
    <w:rPr>
      <w:sz w:val="20"/>
      <w:szCs w:val="20"/>
    </w:rPr>
  </w:style>
  <w:style w:type="character" w:styleId="FootnoteReference">
    <w:name w:val="footnote reference"/>
    <w:basedOn w:val="DefaultParagraphFont"/>
    <w:uiPriority w:val="99"/>
    <w:semiHidden/>
    <w:unhideWhenUsed/>
    <w:rsid w:val="00366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63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bar.org/groups/environment_energy_resources/publications/trends/2018-2019/november-december-2018/gundy-vs-us/(November/Decemb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28C1C-3205-401B-B432-1610E407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Merrick, Joe</dc:creator>
  <cp:lastModifiedBy>Ann Yandian</cp:lastModifiedBy>
  <cp:revision>2</cp:revision>
  <dcterms:created xsi:type="dcterms:W3CDTF">2019-07-05T18:49:00Z</dcterms:created>
  <dcterms:modified xsi:type="dcterms:W3CDTF">2019-07-05T18:49:00Z</dcterms:modified>
</cp:coreProperties>
</file>